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E6B09" w14:textId="5E900F73" w:rsidR="0079454D" w:rsidRDefault="00540CB0">
      <w:pPr>
        <w:pStyle w:val="BodyText"/>
        <w:rPr>
          <w:rFonts w:ascii="Times New Roman"/>
          <w:sz w:val="14"/>
        </w:rPr>
      </w:pPr>
      <w:r w:rsidRPr="00540CB0">
        <w:rPr>
          <w:b/>
          <w:noProof/>
          <w:color w:val="7030A0"/>
          <w:sz w:val="40"/>
        </w:rPr>
        <mc:AlternateContent>
          <mc:Choice Requires="wps">
            <w:drawing>
              <wp:anchor distT="45720" distB="45720" distL="114300" distR="114300" simplePos="0" relativeHeight="503309512" behindDoc="0" locked="0" layoutInCell="1" allowOverlap="1" wp14:anchorId="504CED82" wp14:editId="5DDCED16">
                <wp:simplePos x="0" y="0"/>
                <wp:positionH relativeFrom="column">
                  <wp:posOffset>3959225</wp:posOffset>
                </wp:positionH>
                <wp:positionV relativeFrom="paragraph">
                  <wp:posOffset>85725</wp:posOffset>
                </wp:positionV>
                <wp:extent cx="2360930" cy="971550"/>
                <wp:effectExtent l="0" t="0" r="254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FC58F5" w14:textId="786262A8" w:rsidR="00540CB0" w:rsidRPr="00540CB0" w:rsidRDefault="00540CB0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540CB0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716FBFD0" wp14:editId="671E8745">
                                  <wp:extent cx="2358575" cy="659130"/>
                                  <wp:effectExtent l="0" t="0" r="3810" b="762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9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62318" cy="66017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4CED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1.75pt;margin-top:6.75pt;width:185.9pt;height:76.5pt;z-index:5033095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" stroked="f">
                <v:textbox>
                  <w:txbxContent>
                    <w:p w14:paraId="7DFC58F5" w14:textId="786262A8" w:rsidR="00540CB0" w:rsidRPr="00540CB0" w:rsidRDefault="00540CB0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540CB0"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716FBFD0" wp14:editId="671E8745">
                            <wp:extent cx="2358575" cy="659130"/>
                            <wp:effectExtent l="0" t="0" r="3810" b="762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1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62318" cy="66017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9177E">
        <w:rPr>
          <w:noProof/>
        </w:rPr>
        <mc:AlternateContent>
          <mc:Choice Requires="wpg">
            <w:drawing>
              <wp:anchor distT="0" distB="0" distL="114300" distR="114300" simplePos="0" relativeHeight="503307416" behindDoc="1" locked="0" layoutInCell="1" allowOverlap="1" wp14:anchorId="061EEF1D" wp14:editId="6BC7EEF8">
                <wp:simplePos x="0" y="0"/>
                <wp:positionH relativeFrom="page">
                  <wp:posOffset>3856355</wp:posOffset>
                </wp:positionH>
                <wp:positionV relativeFrom="page">
                  <wp:posOffset>3588385</wp:posOffset>
                </wp:positionV>
                <wp:extent cx="3274060" cy="3175"/>
                <wp:effectExtent l="8255" t="6985" r="13335" b="889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74060" cy="3175"/>
                          <a:chOff x="6073" y="5651"/>
                          <a:chExt cx="5156" cy="5"/>
                        </a:xfrm>
                      </wpg:grpSpPr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6073" y="5654"/>
                            <a:ext cx="1552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8E888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7625" y="5654"/>
                            <a:ext cx="3603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8E888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8F7FD6" id="Group 11" o:spid="_x0000_s1026" style="position:absolute;margin-left:303.65pt;margin-top:282.55pt;width:257.8pt;height:.25pt;z-index:-9064;mso-position-horizontal-relative:page;mso-position-vertical-relative:page" coordorigin="6073,5651" coordsize="5156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">
                <v:line id="Line 13" o:spid="_x0000_s1027" style="position:absolute;visibility:visible;mso-wrap-style:square" from="6073,5654" to="7625,56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" strokecolor="#8e8889" strokeweight=".25pt"/>
                <v:line id="Line 12" o:spid="_x0000_s1028" style="position:absolute;visibility:visible;mso-wrap-style:square" from="7625,5654" to="11228,56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" strokecolor="#8e8889" strokeweight=".25pt"/>
                <w10:wrap anchorx="page" anchory="page"/>
              </v:group>
            </w:pict>
          </mc:Fallback>
        </mc:AlternateContent>
      </w:r>
      <w:r w:rsidR="00D9177E">
        <w:rPr>
          <w:noProof/>
        </w:rPr>
        <mc:AlternateContent>
          <mc:Choice Requires="wpg">
            <w:drawing>
              <wp:anchor distT="0" distB="0" distL="114300" distR="114300" simplePos="0" relativeHeight="503307440" behindDoc="1" locked="0" layoutInCell="1" allowOverlap="1" wp14:anchorId="70278C36" wp14:editId="383AF804">
                <wp:simplePos x="0" y="0"/>
                <wp:positionH relativeFrom="page">
                  <wp:posOffset>3856355</wp:posOffset>
                </wp:positionH>
                <wp:positionV relativeFrom="page">
                  <wp:posOffset>3858260</wp:posOffset>
                </wp:positionV>
                <wp:extent cx="3274060" cy="3175"/>
                <wp:effectExtent l="8255" t="10160" r="13335" b="571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74060" cy="3175"/>
                          <a:chOff x="6073" y="6076"/>
                          <a:chExt cx="5156" cy="5"/>
                        </a:xfrm>
                      </wpg:grpSpPr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6073" y="6078"/>
                            <a:ext cx="1552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8E888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625" y="6078"/>
                            <a:ext cx="3603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8E888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622CED" id="Group 8" o:spid="_x0000_s1026" style="position:absolute;margin-left:303.65pt;margin-top:303.8pt;width:257.8pt;height:.25pt;z-index:-9040;mso-position-horizontal-relative:page;mso-position-vertical-relative:page" coordorigin="6073,6076" coordsize="5156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">
                <v:line id="Line 10" o:spid="_x0000_s1027" style="position:absolute;visibility:visible;mso-wrap-style:square" from="6073,6078" to="7625,60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" strokecolor="#8e8889" strokeweight=".25pt"/>
                <v:line id="Line 9" o:spid="_x0000_s1028" style="position:absolute;visibility:visible;mso-wrap-style:square" from="7625,6078" to="11228,60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" strokecolor="#8e8889" strokeweight=".25pt"/>
                <w10:wrap anchorx="page" anchory="page"/>
              </v:group>
            </w:pict>
          </mc:Fallback>
        </mc:AlternateContent>
      </w:r>
      <w:r w:rsidR="00D9177E">
        <w:rPr>
          <w:noProof/>
        </w:rPr>
        <mc:AlternateContent>
          <mc:Choice Requires="wpg">
            <w:drawing>
              <wp:anchor distT="0" distB="0" distL="114300" distR="114300" simplePos="0" relativeHeight="503307464" behindDoc="1" locked="0" layoutInCell="1" allowOverlap="1" wp14:anchorId="494989CB" wp14:editId="25381082">
                <wp:simplePos x="0" y="0"/>
                <wp:positionH relativeFrom="page">
                  <wp:posOffset>3856355</wp:posOffset>
                </wp:positionH>
                <wp:positionV relativeFrom="page">
                  <wp:posOffset>5001895</wp:posOffset>
                </wp:positionV>
                <wp:extent cx="3274060" cy="3175"/>
                <wp:effectExtent l="8255" t="10795" r="13335" b="508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74060" cy="3175"/>
                          <a:chOff x="6073" y="7877"/>
                          <a:chExt cx="5156" cy="5"/>
                        </a:xfrm>
                      </wpg:grpSpPr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073" y="7879"/>
                            <a:ext cx="1552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8E888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625" y="7879"/>
                            <a:ext cx="3603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8E888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51EDA0" id="Group 5" o:spid="_x0000_s1026" style="position:absolute;margin-left:303.65pt;margin-top:393.85pt;width:257.8pt;height:.25pt;z-index:-9016;mso-position-horizontal-relative:page;mso-position-vertical-relative:page" coordorigin="6073,7877" coordsize="5156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">
                <v:line id="Line 7" o:spid="_x0000_s1027" style="position:absolute;visibility:visible;mso-wrap-style:square" from="6073,7879" to="7625,78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" strokecolor="#8e8889" strokeweight=".25pt"/>
                <v:line id="Line 6" o:spid="_x0000_s1028" style="position:absolute;visibility:visible;mso-wrap-style:square" from="7625,7879" to="11228,78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" strokecolor="#8e8889" strokeweight=".25pt"/>
                <w10:wrap anchorx="page" anchory="page"/>
              </v:group>
            </w:pict>
          </mc:Fallback>
        </mc:AlternateContent>
      </w:r>
    </w:p>
    <w:p w14:paraId="103CEDB2" w14:textId="3A5859B5" w:rsidR="0079454D" w:rsidRDefault="00F566CA" w:rsidP="002E127C">
      <w:pPr>
        <w:tabs>
          <w:tab w:val="left" w:pos="1443"/>
        </w:tabs>
        <w:spacing w:before="113" w:line="223" w:lineRule="auto"/>
        <w:ind w:left="109" w:right="5545"/>
        <w:rPr>
          <w:b/>
          <w:sz w:val="40"/>
        </w:rPr>
      </w:pPr>
      <w:r w:rsidRPr="00F566CA">
        <w:rPr>
          <w:b/>
          <w:color w:val="0070C0"/>
          <w:sz w:val="40"/>
        </w:rPr>
        <w:t>OCEAN</w:t>
      </w:r>
      <w:r w:rsidR="002E127C">
        <w:rPr>
          <w:b/>
          <w:color w:val="0070C0"/>
          <w:sz w:val="40"/>
        </w:rPr>
        <w:t xml:space="preserve"> </w:t>
      </w:r>
      <w:r w:rsidR="006F741F">
        <w:rPr>
          <w:b/>
          <w:color w:val="0070C0"/>
          <w:sz w:val="40"/>
        </w:rPr>
        <w:t>Diamond</w:t>
      </w:r>
      <w:r w:rsidRPr="00F566CA">
        <w:rPr>
          <w:b/>
          <w:color w:val="0070C0"/>
          <w:sz w:val="40"/>
        </w:rPr>
        <w:t xml:space="preserve"> Bridging Loan</w:t>
      </w:r>
      <w:r w:rsidR="000F6156" w:rsidRPr="00F566CA">
        <w:rPr>
          <w:b/>
          <w:color w:val="0070C0"/>
          <w:sz w:val="40"/>
        </w:rPr>
        <w:t xml:space="preserve"> (</w:t>
      </w:r>
      <w:r w:rsidR="006B27FD" w:rsidRPr="00F566CA">
        <w:rPr>
          <w:b/>
          <w:color w:val="0070C0"/>
          <w:sz w:val="40"/>
        </w:rPr>
        <w:t>with</w:t>
      </w:r>
      <w:r w:rsidR="000F6156" w:rsidRPr="00F566CA">
        <w:rPr>
          <w:b/>
          <w:color w:val="0070C0"/>
          <w:sz w:val="40"/>
        </w:rPr>
        <w:t xml:space="preserve"> End Debt)</w:t>
      </w:r>
      <w:r w:rsidR="000502AE" w:rsidRPr="000F6156">
        <w:rPr>
          <w:b/>
          <w:color w:val="7030A0"/>
          <w:sz w:val="40"/>
        </w:rPr>
        <w:tab/>
      </w:r>
    </w:p>
    <w:p w14:paraId="0C778CB3" w14:textId="0B8A8C76" w:rsidR="0079454D" w:rsidRDefault="008436A5">
      <w:pPr>
        <w:spacing w:before="355" w:line="329" w:lineRule="exact"/>
        <w:ind w:left="109"/>
        <w:rPr>
          <w:rFonts w:ascii="Book Antiqua"/>
          <w:b/>
          <w:color w:val="444143"/>
          <w:sz w:val="28"/>
        </w:rPr>
      </w:pPr>
      <w:r>
        <w:rPr>
          <w:rFonts w:ascii="Book Antiqua"/>
          <w:b/>
          <w:color w:val="444143"/>
          <w:sz w:val="28"/>
        </w:rPr>
        <w:t>80</w:t>
      </w:r>
      <w:r w:rsidR="000502AE">
        <w:rPr>
          <w:rFonts w:ascii="Book Antiqua"/>
          <w:b/>
          <w:color w:val="444143"/>
          <w:sz w:val="28"/>
        </w:rPr>
        <w:t>% M</w:t>
      </w:r>
      <w:r w:rsidR="00101C36">
        <w:rPr>
          <w:rFonts w:ascii="Book Antiqua"/>
          <w:b/>
          <w:color w:val="444143"/>
          <w:sz w:val="28"/>
        </w:rPr>
        <w:t>ax</w:t>
      </w:r>
      <w:r w:rsidR="000502AE">
        <w:rPr>
          <w:rFonts w:ascii="Book Antiqua"/>
          <w:b/>
          <w:color w:val="444143"/>
          <w:sz w:val="28"/>
        </w:rPr>
        <w:t xml:space="preserve"> LVR</w:t>
      </w:r>
      <w:r w:rsidR="00101C36">
        <w:rPr>
          <w:rFonts w:ascii="Book Antiqua"/>
          <w:b/>
          <w:color w:val="444143"/>
          <w:sz w:val="28"/>
        </w:rPr>
        <w:t xml:space="preserve"> Residential, </w:t>
      </w:r>
      <w:r w:rsidR="00540CB0">
        <w:rPr>
          <w:rFonts w:ascii="Book Antiqua"/>
          <w:b/>
          <w:color w:val="444143"/>
          <w:sz w:val="28"/>
        </w:rPr>
        <w:t xml:space="preserve">                                          </w:t>
      </w:r>
    </w:p>
    <w:p w14:paraId="615D69FF" w14:textId="269CB78A" w:rsidR="0079454D" w:rsidRDefault="000502AE">
      <w:pPr>
        <w:pStyle w:val="BodyText"/>
        <w:spacing w:line="207" w:lineRule="exact"/>
        <w:ind w:left="109"/>
        <w:rPr>
          <w:rFonts w:ascii="Palatino Linotype"/>
        </w:rPr>
      </w:pPr>
      <w:r>
        <w:rPr>
          <w:rFonts w:ascii="Lucida Sans"/>
          <w:color w:val="3F3F3F"/>
          <w:w w:val="95"/>
        </w:rPr>
        <w:t xml:space="preserve">UPDATED: </w:t>
      </w:r>
      <w:r w:rsidR="00111227">
        <w:rPr>
          <w:rFonts w:ascii="Lucida Sans"/>
          <w:color w:val="3F3F3F"/>
          <w:w w:val="95"/>
        </w:rPr>
        <w:t xml:space="preserve">18 </w:t>
      </w:r>
      <w:r w:rsidR="009B0697">
        <w:rPr>
          <w:rFonts w:ascii="Lucida Sans"/>
          <w:color w:val="3F3F3F"/>
          <w:w w:val="95"/>
        </w:rPr>
        <w:t>September</w:t>
      </w:r>
      <w:r w:rsidR="00111227">
        <w:rPr>
          <w:rFonts w:ascii="Lucida Sans"/>
          <w:color w:val="3F3F3F"/>
          <w:w w:val="95"/>
        </w:rPr>
        <w:t xml:space="preserve"> 202</w:t>
      </w:r>
      <w:r w:rsidR="009B0697">
        <w:rPr>
          <w:rFonts w:ascii="Lucida Sans"/>
          <w:color w:val="3F3F3F"/>
          <w:w w:val="95"/>
        </w:rPr>
        <w:t>5</w:t>
      </w:r>
    </w:p>
    <w:p w14:paraId="57B8339A" w14:textId="77777777" w:rsidR="0079454D" w:rsidRPr="00540CB0" w:rsidRDefault="0079454D">
      <w:pPr>
        <w:pStyle w:val="BodyText"/>
        <w:spacing w:before="13"/>
        <w:rPr>
          <w:rFonts w:ascii="Palatino Linotype"/>
          <w:sz w:val="15"/>
        </w:rPr>
      </w:pPr>
    </w:p>
    <w:p w14:paraId="38174466" w14:textId="067F2EE4" w:rsidR="0079454D" w:rsidRPr="00540CB0" w:rsidRDefault="000502AE" w:rsidP="00960DE2">
      <w:pPr>
        <w:pStyle w:val="BodyText"/>
        <w:spacing w:before="95"/>
        <w:ind w:left="149"/>
        <w:rPr>
          <w:color w:val="FFFFFF" w:themeColor="background1"/>
          <w:sz w:val="18"/>
          <w:szCs w:val="18"/>
        </w:rPr>
      </w:pPr>
      <w:r w:rsidRPr="00550390">
        <w:rPr>
          <w:sz w:val="18"/>
          <w:szCs w:val="18"/>
        </w:rPr>
        <w:t xml:space="preserve">The </w:t>
      </w:r>
      <w:r w:rsidR="00F566CA">
        <w:rPr>
          <w:sz w:val="18"/>
          <w:szCs w:val="18"/>
        </w:rPr>
        <w:t>Ocean Bridging</w:t>
      </w:r>
      <w:r w:rsidR="000F6156" w:rsidRPr="00550390">
        <w:rPr>
          <w:sz w:val="18"/>
          <w:szCs w:val="18"/>
        </w:rPr>
        <w:t xml:space="preserve"> </w:t>
      </w:r>
      <w:r w:rsidRPr="00550390">
        <w:rPr>
          <w:sz w:val="18"/>
          <w:szCs w:val="18"/>
        </w:rPr>
        <w:t xml:space="preserve">loan is a </w:t>
      </w:r>
      <w:r w:rsidR="000F6156" w:rsidRPr="00550390">
        <w:rPr>
          <w:sz w:val="18"/>
          <w:szCs w:val="18"/>
        </w:rPr>
        <w:t xml:space="preserve">bridging </w:t>
      </w:r>
      <w:r w:rsidRPr="00550390">
        <w:rPr>
          <w:sz w:val="18"/>
          <w:szCs w:val="18"/>
        </w:rPr>
        <w:t>loan for residential</w:t>
      </w:r>
      <w:r w:rsidR="00BA7AD0">
        <w:rPr>
          <w:sz w:val="18"/>
          <w:szCs w:val="18"/>
        </w:rPr>
        <w:t xml:space="preserve"> </w:t>
      </w:r>
      <w:r w:rsidRPr="00550390">
        <w:rPr>
          <w:sz w:val="18"/>
          <w:szCs w:val="18"/>
        </w:rPr>
        <w:t>properties</w:t>
      </w:r>
      <w:r w:rsidR="000F6156" w:rsidRPr="00550390">
        <w:rPr>
          <w:sz w:val="18"/>
          <w:szCs w:val="18"/>
        </w:rPr>
        <w:t xml:space="preserve"> where there </w:t>
      </w:r>
      <w:r w:rsidR="00EA4197">
        <w:rPr>
          <w:sz w:val="18"/>
          <w:szCs w:val="18"/>
        </w:rPr>
        <w:t xml:space="preserve">will </w:t>
      </w:r>
      <w:r w:rsidR="000F6156" w:rsidRPr="00550390">
        <w:rPr>
          <w:sz w:val="18"/>
          <w:szCs w:val="18"/>
        </w:rPr>
        <w:t>End Debt (after the sale of a property) within a</w:t>
      </w:r>
      <w:r w:rsidR="002E127C">
        <w:rPr>
          <w:sz w:val="18"/>
          <w:szCs w:val="18"/>
        </w:rPr>
        <w:t xml:space="preserve"> maximum</w:t>
      </w:r>
      <w:r w:rsidR="000F6156" w:rsidRPr="00550390">
        <w:rPr>
          <w:sz w:val="18"/>
          <w:szCs w:val="18"/>
        </w:rPr>
        <w:t xml:space="preserve"> </w:t>
      </w:r>
      <w:r w:rsidR="009B0697">
        <w:rPr>
          <w:sz w:val="18"/>
          <w:szCs w:val="18"/>
        </w:rPr>
        <w:t>12-month</w:t>
      </w:r>
      <w:r w:rsidR="000F6156" w:rsidRPr="00550390">
        <w:rPr>
          <w:sz w:val="18"/>
          <w:szCs w:val="18"/>
        </w:rPr>
        <w:t xml:space="preserve"> period</w:t>
      </w:r>
      <w:r w:rsidRPr="00550390">
        <w:rPr>
          <w:sz w:val="18"/>
          <w:szCs w:val="18"/>
        </w:rPr>
        <w:t>.</w:t>
      </w:r>
      <w:r w:rsidR="00960DE2">
        <w:rPr>
          <w:sz w:val="18"/>
          <w:szCs w:val="18"/>
        </w:rPr>
        <w:t xml:space="preserve"> </w:t>
      </w:r>
      <w:r w:rsidR="00D9177E" w:rsidRPr="00550390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503307392" behindDoc="1" locked="0" layoutInCell="1" allowOverlap="1" wp14:anchorId="1EB9608D" wp14:editId="48B9C34F">
                <wp:simplePos x="0" y="0"/>
                <wp:positionH relativeFrom="page">
                  <wp:posOffset>3856355</wp:posOffset>
                </wp:positionH>
                <wp:positionV relativeFrom="paragraph">
                  <wp:posOffset>981710</wp:posOffset>
                </wp:positionV>
                <wp:extent cx="3274060" cy="3175"/>
                <wp:effectExtent l="8255" t="6350" r="13335" b="952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74060" cy="3175"/>
                          <a:chOff x="6073" y="1546"/>
                          <a:chExt cx="5156" cy="5"/>
                        </a:xfrm>
                      </wpg:grpSpPr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6073" y="1548"/>
                            <a:ext cx="1552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8E888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7625" y="1548"/>
                            <a:ext cx="3603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8E888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685D3F" id="Group 2" o:spid="_x0000_s1026" style="position:absolute;margin-left:303.65pt;margin-top:77.3pt;width:257.8pt;height:.25pt;z-index:-9088;mso-position-horizontal-relative:page" coordorigin="6073,1546" coordsize="5156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">
                <v:line id="Line 4" o:spid="_x0000_s1027" style="position:absolute;visibility:visible;mso-wrap-style:square" from="6073,1548" to="7625,15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" strokecolor="#8e8889" strokeweight=".25pt"/>
                <v:line id="Line 3" o:spid="_x0000_s1028" style="position:absolute;visibility:visible;mso-wrap-style:square" from="7625,1548" to="11228,15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" strokecolor="#8e8889" strokeweight=".25pt"/>
                <w10:wrap anchorx="page"/>
              </v:group>
            </w:pict>
          </mc:Fallback>
        </mc:AlternateContent>
      </w:r>
      <w:r w:rsidR="000F6156" w:rsidRPr="00550390">
        <w:rPr>
          <w:sz w:val="18"/>
          <w:szCs w:val="18"/>
        </w:rPr>
        <w:t xml:space="preserve">This is suitable for full doc or Altdoc loans </w:t>
      </w:r>
      <w:r w:rsidR="00960DE2">
        <w:rPr>
          <w:sz w:val="18"/>
          <w:szCs w:val="18"/>
        </w:rPr>
        <w:t xml:space="preserve">with </w:t>
      </w:r>
      <w:r w:rsidR="000F6156" w:rsidRPr="00550390">
        <w:rPr>
          <w:sz w:val="18"/>
          <w:szCs w:val="18"/>
        </w:rPr>
        <w:t xml:space="preserve">servicing </w:t>
      </w:r>
      <w:r w:rsidR="00960DE2">
        <w:rPr>
          <w:sz w:val="18"/>
          <w:szCs w:val="18"/>
        </w:rPr>
        <w:t>based on the End Debt</w:t>
      </w:r>
      <w:r w:rsidR="00052CFE">
        <w:rPr>
          <w:sz w:val="18"/>
          <w:szCs w:val="18"/>
        </w:rPr>
        <w:t xml:space="preserve"> (after the sale of the existing property)</w:t>
      </w:r>
      <w:r w:rsidR="00960DE2">
        <w:rPr>
          <w:sz w:val="18"/>
          <w:szCs w:val="18"/>
        </w:rPr>
        <w:t>.</w:t>
      </w:r>
      <w:r w:rsidRPr="00550390">
        <w:rPr>
          <w:sz w:val="18"/>
          <w:szCs w:val="18"/>
        </w:rPr>
        <w:t xml:space="preserve"> </w:t>
      </w:r>
    </w:p>
    <w:p w14:paraId="11C70514" w14:textId="77777777" w:rsidR="0079454D" w:rsidRDefault="0079454D">
      <w:pPr>
        <w:pStyle w:val="BodyText"/>
        <w:spacing w:before="8"/>
        <w:rPr>
          <w:sz w:val="19"/>
        </w:rPr>
      </w:pPr>
    </w:p>
    <w:tbl>
      <w:tblPr>
        <w:tblW w:w="0" w:type="auto"/>
        <w:tblInd w:w="-3" w:type="dxa"/>
        <w:tblBorders>
          <w:top w:val="single" w:sz="2" w:space="0" w:color="8E8889"/>
          <w:left w:val="single" w:sz="2" w:space="0" w:color="8E8889"/>
          <w:bottom w:val="single" w:sz="2" w:space="0" w:color="8E8889"/>
          <w:right w:val="single" w:sz="2" w:space="0" w:color="8E8889"/>
          <w:insideH w:val="single" w:sz="2" w:space="0" w:color="8E8889"/>
          <w:insideV w:val="single" w:sz="2" w:space="0" w:color="8E888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5"/>
        <w:gridCol w:w="3600"/>
        <w:gridCol w:w="242"/>
        <w:gridCol w:w="1854"/>
        <w:gridCol w:w="3402"/>
      </w:tblGrid>
      <w:tr w:rsidR="00937A03" w14:paraId="652CDC88" w14:textId="77777777" w:rsidTr="00C64BE7">
        <w:trPr>
          <w:trHeight w:val="419"/>
        </w:trPr>
        <w:tc>
          <w:tcPr>
            <w:tcW w:w="1675" w:type="dxa"/>
            <w:vMerge w:val="restart"/>
            <w:shd w:val="clear" w:color="auto" w:fill="0070C0"/>
          </w:tcPr>
          <w:p w14:paraId="1B1A8671" w14:textId="77777777" w:rsidR="00937A03" w:rsidRDefault="00937A03" w:rsidP="004828CA">
            <w:pPr>
              <w:pStyle w:val="TableParagraph"/>
              <w:spacing w:before="120" w:line="235" w:lineRule="auto"/>
              <w:ind w:right="558"/>
              <w:rPr>
                <w:sz w:val="16"/>
              </w:rPr>
            </w:pPr>
            <w:r>
              <w:rPr>
                <w:color w:val="FFFFFF"/>
                <w:sz w:val="16"/>
              </w:rPr>
              <w:t>Description:</w:t>
            </w:r>
          </w:p>
        </w:tc>
        <w:tc>
          <w:tcPr>
            <w:tcW w:w="3600" w:type="dxa"/>
            <w:vMerge w:val="restart"/>
            <w:shd w:val="clear" w:color="auto" w:fill="ECEAEA"/>
          </w:tcPr>
          <w:p w14:paraId="63A45D0A" w14:textId="351E899F" w:rsidR="00FE7C8D" w:rsidRPr="00F2643A" w:rsidRDefault="00937A03" w:rsidP="00FE7C8D">
            <w:pPr>
              <w:pStyle w:val="TableParagraph"/>
              <w:spacing w:before="110" w:line="278" w:lineRule="auto"/>
              <w:ind w:right="606"/>
              <w:rPr>
                <w:color w:val="595959" w:themeColor="text1" w:themeTint="A6"/>
                <w:sz w:val="16"/>
              </w:rPr>
            </w:pPr>
            <w:r w:rsidRPr="00F2643A">
              <w:rPr>
                <w:color w:val="595959" w:themeColor="text1" w:themeTint="A6"/>
                <w:sz w:val="16"/>
              </w:rPr>
              <w:t xml:space="preserve">A </w:t>
            </w:r>
            <w:r w:rsidR="002F6E7D" w:rsidRPr="00F2643A">
              <w:rPr>
                <w:color w:val="595959" w:themeColor="text1" w:themeTint="A6"/>
                <w:sz w:val="16"/>
              </w:rPr>
              <w:t>short-term</w:t>
            </w:r>
            <w:r w:rsidRPr="00F2643A">
              <w:rPr>
                <w:color w:val="595959" w:themeColor="text1" w:themeTint="A6"/>
                <w:sz w:val="16"/>
              </w:rPr>
              <w:t xml:space="preserve"> loan (max. </w:t>
            </w:r>
            <w:r w:rsidR="006D034D" w:rsidRPr="00F2643A">
              <w:rPr>
                <w:color w:val="595959" w:themeColor="text1" w:themeTint="A6"/>
                <w:sz w:val="16"/>
              </w:rPr>
              <w:t>1</w:t>
            </w:r>
            <w:r w:rsidR="007210C7">
              <w:rPr>
                <w:color w:val="595959" w:themeColor="text1" w:themeTint="A6"/>
                <w:sz w:val="16"/>
              </w:rPr>
              <w:t>2</w:t>
            </w:r>
            <w:r w:rsidR="006D034D" w:rsidRPr="00F2643A">
              <w:rPr>
                <w:color w:val="595959" w:themeColor="text1" w:themeTint="A6"/>
                <w:sz w:val="16"/>
              </w:rPr>
              <w:t xml:space="preserve"> months</w:t>
            </w:r>
            <w:r w:rsidRPr="00F2643A">
              <w:rPr>
                <w:color w:val="595959" w:themeColor="text1" w:themeTint="A6"/>
                <w:sz w:val="16"/>
              </w:rPr>
              <w:t>) to purchase a property, prior to the sale of their existing property.</w:t>
            </w:r>
            <w:r w:rsidR="00FE7C8D">
              <w:rPr>
                <w:color w:val="595959" w:themeColor="text1" w:themeTint="A6"/>
                <w:sz w:val="16"/>
              </w:rPr>
              <w:t xml:space="preserve">                                          Contracted </w:t>
            </w:r>
            <w:proofErr w:type="gramStart"/>
            <w:r w:rsidR="00FE7C8D">
              <w:rPr>
                <w:color w:val="595959" w:themeColor="text1" w:themeTint="A6"/>
                <w:sz w:val="16"/>
              </w:rPr>
              <w:t>Sale :</w:t>
            </w:r>
            <w:proofErr w:type="gramEnd"/>
            <w:r w:rsidR="00FE7C8D">
              <w:rPr>
                <w:color w:val="595959" w:themeColor="text1" w:themeTint="A6"/>
                <w:sz w:val="16"/>
              </w:rPr>
              <w:t xml:space="preserve"> 80% LVR                                Uncontracted </w:t>
            </w:r>
            <w:proofErr w:type="gramStart"/>
            <w:r w:rsidR="00FE7C8D">
              <w:rPr>
                <w:color w:val="595959" w:themeColor="text1" w:themeTint="A6"/>
                <w:sz w:val="16"/>
              </w:rPr>
              <w:t>Sale :</w:t>
            </w:r>
            <w:proofErr w:type="gramEnd"/>
            <w:r w:rsidR="00FE7C8D">
              <w:rPr>
                <w:color w:val="595959" w:themeColor="text1" w:themeTint="A6"/>
                <w:sz w:val="16"/>
              </w:rPr>
              <w:t xml:space="preserve"> 75% </w:t>
            </w:r>
            <w:proofErr w:type="gramStart"/>
            <w:r w:rsidR="00FE7C8D">
              <w:rPr>
                <w:color w:val="595959" w:themeColor="text1" w:themeTint="A6"/>
                <w:sz w:val="16"/>
              </w:rPr>
              <w:t>LVR  existing</w:t>
            </w:r>
            <w:proofErr w:type="gramEnd"/>
            <w:r w:rsidR="00FE7C8D">
              <w:rPr>
                <w:color w:val="595959" w:themeColor="text1" w:themeTint="A6"/>
                <w:sz w:val="16"/>
              </w:rPr>
              <w:t xml:space="preserve"> security &amp; 80% LVR on new purchase.</w:t>
            </w:r>
          </w:p>
        </w:tc>
        <w:tc>
          <w:tcPr>
            <w:tcW w:w="242" w:type="dxa"/>
            <w:vMerge w:val="restart"/>
            <w:tcBorders>
              <w:top w:val="nil"/>
            </w:tcBorders>
          </w:tcPr>
          <w:p w14:paraId="3392271E" w14:textId="77777777" w:rsidR="00937A03" w:rsidRDefault="00937A03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54" w:type="dxa"/>
            <w:tcBorders>
              <w:bottom w:val="single" w:sz="4" w:space="0" w:color="A6A6A6" w:themeColor="background1" w:themeShade="A6"/>
            </w:tcBorders>
            <w:shd w:val="clear" w:color="auto" w:fill="0070C0"/>
          </w:tcPr>
          <w:p w14:paraId="08F3859D" w14:textId="77777777" w:rsidR="00937A03" w:rsidRDefault="00937A03" w:rsidP="004828CA">
            <w:pPr>
              <w:pStyle w:val="TableParagraph"/>
              <w:spacing w:before="120"/>
              <w:rPr>
                <w:sz w:val="16"/>
              </w:rPr>
            </w:pPr>
            <w:r>
              <w:rPr>
                <w:color w:val="FFFFFF"/>
                <w:sz w:val="16"/>
              </w:rPr>
              <w:t>Application Fee:</w:t>
            </w:r>
          </w:p>
        </w:tc>
        <w:tc>
          <w:tcPr>
            <w:tcW w:w="3402" w:type="dxa"/>
            <w:shd w:val="clear" w:color="auto" w:fill="ECEAEA"/>
          </w:tcPr>
          <w:p w14:paraId="0159981A" w14:textId="023A5439" w:rsidR="00937A03" w:rsidRDefault="00937A03" w:rsidP="004828CA">
            <w:pPr>
              <w:pStyle w:val="TableParagraph"/>
              <w:spacing w:before="120"/>
              <w:rPr>
                <w:sz w:val="16"/>
              </w:rPr>
            </w:pPr>
            <w:r>
              <w:rPr>
                <w:color w:val="444143"/>
                <w:sz w:val="16"/>
              </w:rPr>
              <w:t>1.</w:t>
            </w:r>
            <w:r w:rsidR="00B0516E">
              <w:rPr>
                <w:color w:val="444143"/>
                <w:sz w:val="16"/>
              </w:rPr>
              <w:t>25</w:t>
            </w:r>
            <w:r>
              <w:rPr>
                <w:color w:val="444143"/>
                <w:sz w:val="16"/>
              </w:rPr>
              <w:t>% of total loan amount</w:t>
            </w:r>
          </w:p>
        </w:tc>
      </w:tr>
      <w:tr w:rsidR="00937A03" w14:paraId="0D403EB1" w14:textId="77777777" w:rsidTr="00C64BE7">
        <w:trPr>
          <w:trHeight w:val="394"/>
        </w:trPr>
        <w:tc>
          <w:tcPr>
            <w:tcW w:w="1675" w:type="dxa"/>
            <w:vMerge/>
            <w:tcBorders>
              <w:top w:val="nil"/>
              <w:bottom w:val="single" w:sz="4" w:space="0" w:color="A6A6A6" w:themeColor="background1" w:themeShade="A6"/>
            </w:tcBorders>
            <w:shd w:val="clear" w:color="auto" w:fill="0070C0"/>
          </w:tcPr>
          <w:p w14:paraId="05154B5E" w14:textId="77777777" w:rsidR="00937A03" w:rsidRDefault="00937A03"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  <w:vMerge/>
            <w:tcBorders>
              <w:top w:val="nil"/>
            </w:tcBorders>
            <w:shd w:val="clear" w:color="auto" w:fill="ECEAEA"/>
          </w:tcPr>
          <w:p w14:paraId="1CF8FAB1" w14:textId="77777777" w:rsidR="00937A03" w:rsidRPr="00F2643A" w:rsidRDefault="00937A03">
            <w:pPr>
              <w:rPr>
                <w:color w:val="595959" w:themeColor="text1" w:themeTint="A6"/>
                <w:sz w:val="2"/>
                <w:szCs w:val="2"/>
              </w:rPr>
            </w:pPr>
          </w:p>
        </w:tc>
        <w:tc>
          <w:tcPr>
            <w:tcW w:w="242" w:type="dxa"/>
            <w:vMerge/>
          </w:tcPr>
          <w:p w14:paraId="16B60BDB" w14:textId="77777777" w:rsidR="00937A03" w:rsidRDefault="00937A03">
            <w:pPr>
              <w:rPr>
                <w:sz w:val="2"/>
                <w:szCs w:val="2"/>
              </w:rPr>
            </w:pPr>
          </w:p>
        </w:tc>
        <w:tc>
          <w:tcPr>
            <w:tcW w:w="185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0070C0"/>
          </w:tcPr>
          <w:p w14:paraId="60F182D5" w14:textId="77777777" w:rsidR="00937A03" w:rsidRDefault="00937A03" w:rsidP="004828CA">
            <w:pPr>
              <w:pStyle w:val="TableParagraph"/>
              <w:spacing w:before="120"/>
              <w:rPr>
                <w:sz w:val="16"/>
              </w:rPr>
            </w:pPr>
            <w:r>
              <w:rPr>
                <w:color w:val="FFFFFF"/>
                <w:sz w:val="16"/>
              </w:rPr>
              <w:t>Valuation Fees (2):</w:t>
            </w: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  <w:shd w:val="clear" w:color="auto" w:fill="ECEAEA"/>
          </w:tcPr>
          <w:p w14:paraId="2C352103" w14:textId="57C6B27C" w:rsidR="00937A03" w:rsidRDefault="00937A03" w:rsidP="004828CA">
            <w:pPr>
              <w:pStyle w:val="TableParagraph"/>
              <w:spacing w:before="120" w:after="120"/>
              <w:rPr>
                <w:sz w:val="16"/>
              </w:rPr>
            </w:pPr>
            <w:r w:rsidRPr="004E2418">
              <w:rPr>
                <w:color w:val="595959" w:themeColor="text1" w:themeTint="A6"/>
                <w:sz w:val="16"/>
              </w:rPr>
              <w:t>At Cost</w:t>
            </w:r>
            <w:r w:rsidR="007E17D5" w:rsidRPr="004E2418">
              <w:rPr>
                <w:color w:val="595959" w:themeColor="text1" w:themeTint="A6"/>
                <w:sz w:val="16"/>
              </w:rPr>
              <w:t>. As a guide only, assume approx.       $</w:t>
            </w:r>
            <w:r w:rsidR="005C35A9" w:rsidRPr="004E2418">
              <w:rPr>
                <w:color w:val="595959" w:themeColor="text1" w:themeTint="A6"/>
                <w:sz w:val="16"/>
              </w:rPr>
              <w:t>330</w:t>
            </w:r>
            <w:r w:rsidR="007E17D5" w:rsidRPr="004E2418">
              <w:rPr>
                <w:color w:val="595959" w:themeColor="text1" w:themeTint="A6"/>
                <w:sz w:val="16"/>
              </w:rPr>
              <w:t xml:space="preserve"> – properties to $1m (</w:t>
            </w:r>
            <w:proofErr w:type="gramStart"/>
            <w:r w:rsidR="007E17D5" w:rsidRPr="004E2418">
              <w:rPr>
                <w:color w:val="595959" w:themeColor="text1" w:themeTint="A6"/>
                <w:sz w:val="16"/>
              </w:rPr>
              <w:t xml:space="preserve">metro)   </w:t>
            </w:r>
            <w:proofErr w:type="gramEnd"/>
            <w:r w:rsidR="007E17D5" w:rsidRPr="004E2418">
              <w:rPr>
                <w:color w:val="595959" w:themeColor="text1" w:themeTint="A6"/>
                <w:sz w:val="16"/>
              </w:rPr>
              <w:t xml:space="preserve">                $</w:t>
            </w:r>
            <w:r w:rsidR="005C35A9" w:rsidRPr="004E2418">
              <w:rPr>
                <w:color w:val="595959" w:themeColor="text1" w:themeTint="A6"/>
                <w:sz w:val="16"/>
              </w:rPr>
              <w:t>55</w:t>
            </w:r>
            <w:r w:rsidR="007E17D5" w:rsidRPr="004E2418">
              <w:rPr>
                <w:color w:val="595959" w:themeColor="text1" w:themeTint="A6"/>
                <w:sz w:val="16"/>
              </w:rPr>
              <w:t>0 – properties to $2m (metro)</w:t>
            </w:r>
          </w:p>
        </w:tc>
      </w:tr>
      <w:tr w:rsidR="00937A03" w14:paraId="28FB1957" w14:textId="77777777" w:rsidTr="00C64BE7">
        <w:trPr>
          <w:trHeight w:val="443"/>
        </w:trPr>
        <w:tc>
          <w:tcPr>
            <w:tcW w:w="1675" w:type="dxa"/>
            <w:vMerge w:val="restart"/>
            <w:tcBorders>
              <w:top w:val="single" w:sz="4" w:space="0" w:color="A6A6A6" w:themeColor="background1" w:themeShade="A6"/>
            </w:tcBorders>
            <w:shd w:val="clear" w:color="auto" w:fill="0070C0"/>
          </w:tcPr>
          <w:p w14:paraId="74B1D487" w14:textId="4D970103" w:rsidR="00937A03" w:rsidRDefault="00937A03" w:rsidP="000972DE">
            <w:pPr>
              <w:pStyle w:val="TableParagraph"/>
              <w:spacing w:before="120" w:after="100"/>
              <w:rPr>
                <w:sz w:val="16"/>
              </w:rPr>
            </w:pPr>
            <w:r>
              <w:rPr>
                <w:color w:val="FFFFFF"/>
                <w:sz w:val="16"/>
              </w:rPr>
              <w:t>Loan Amount:  Residential:</w:t>
            </w:r>
          </w:p>
        </w:tc>
        <w:tc>
          <w:tcPr>
            <w:tcW w:w="3600" w:type="dxa"/>
            <w:vMerge w:val="restart"/>
            <w:shd w:val="clear" w:color="auto" w:fill="ECEAEA"/>
          </w:tcPr>
          <w:p w14:paraId="65334324" w14:textId="28CFB808" w:rsidR="00937A03" w:rsidRPr="00F2643A" w:rsidRDefault="00937A03" w:rsidP="000972DE">
            <w:pPr>
              <w:pStyle w:val="TableParagraph"/>
              <w:spacing w:after="100" w:line="278" w:lineRule="auto"/>
              <w:ind w:left="110"/>
              <w:rPr>
                <w:color w:val="595959" w:themeColor="text1" w:themeTint="A6"/>
                <w:sz w:val="16"/>
              </w:rPr>
            </w:pPr>
            <w:r w:rsidRPr="00F2643A">
              <w:rPr>
                <w:color w:val="595959" w:themeColor="text1" w:themeTint="A6"/>
                <w:sz w:val="16"/>
              </w:rPr>
              <w:t xml:space="preserve">Min: $    100,000 </w:t>
            </w:r>
            <w:r w:rsidR="004C4C50" w:rsidRPr="00F2643A">
              <w:rPr>
                <w:color w:val="595959" w:themeColor="text1" w:themeTint="A6"/>
                <w:sz w:val="16"/>
              </w:rPr>
              <w:t xml:space="preserve">                          </w:t>
            </w:r>
            <w:r w:rsidR="00766882">
              <w:rPr>
                <w:color w:val="595959" w:themeColor="text1" w:themeTint="A6"/>
                <w:sz w:val="16"/>
              </w:rPr>
              <w:t xml:space="preserve">           </w:t>
            </w:r>
            <w:r w:rsidR="004C4C50" w:rsidRPr="00F2643A">
              <w:rPr>
                <w:color w:val="595959" w:themeColor="text1" w:themeTint="A6"/>
                <w:sz w:val="16"/>
              </w:rPr>
              <w:t xml:space="preserve"> </w:t>
            </w:r>
            <w:r w:rsidR="00162B9F">
              <w:rPr>
                <w:color w:val="595959" w:themeColor="text1" w:themeTint="A6"/>
                <w:sz w:val="16"/>
              </w:rPr>
              <w:t xml:space="preserve">        </w:t>
            </w:r>
            <w:r w:rsidRPr="00F2643A">
              <w:rPr>
                <w:color w:val="595959" w:themeColor="text1" w:themeTint="A6"/>
                <w:sz w:val="16"/>
              </w:rPr>
              <w:t>Max: $</w:t>
            </w:r>
            <w:r w:rsidR="000972DE">
              <w:rPr>
                <w:color w:val="595959" w:themeColor="text1" w:themeTint="A6"/>
                <w:sz w:val="16"/>
              </w:rPr>
              <w:t>5</w:t>
            </w:r>
            <w:r w:rsidRPr="00F2643A">
              <w:rPr>
                <w:color w:val="595959" w:themeColor="text1" w:themeTint="A6"/>
                <w:sz w:val="16"/>
              </w:rPr>
              <w:t>,000,000</w:t>
            </w:r>
            <w:r w:rsidR="004C4C50" w:rsidRPr="00F2643A">
              <w:rPr>
                <w:color w:val="595959" w:themeColor="text1" w:themeTint="A6"/>
                <w:sz w:val="16"/>
              </w:rPr>
              <w:t xml:space="preserve"> (</w:t>
            </w:r>
            <w:r w:rsidR="000972DE">
              <w:rPr>
                <w:color w:val="595959" w:themeColor="text1" w:themeTint="A6"/>
                <w:sz w:val="16"/>
              </w:rPr>
              <w:t>80</w:t>
            </w:r>
            <w:r w:rsidR="004C4C50" w:rsidRPr="00F2643A">
              <w:rPr>
                <w:color w:val="595959" w:themeColor="text1" w:themeTint="A6"/>
                <w:sz w:val="16"/>
              </w:rPr>
              <w:t xml:space="preserve">% </w:t>
            </w:r>
            <w:proofErr w:type="gramStart"/>
            <w:r w:rsidR="004C4C50" w:rsidRPr="00F2643A">
              <w:rPr>
                <w:color w:val="595959" w:themeColor="text1" w:themeTint="A6"/>
                <w:sz w:val="16"/>
              </w:rPr>
              <w:t xml:space="preserve">LVR)   </w:t>
            </w:r>
            <w:proofErr w:type="gramEnd"/>
          </w:p>
        </w:tc>
        <w:tc>
          <w:tcPr>
            <w:tcW w:w="242" w:type="dxa"/>
            <w:vMerge/>
          </w:tcPr>
          <w:p w14:paraId="7AA39EE8" w14:textId="77777777" w:rsidR="00937A03" w:rsidRDefault="00937A03" w:rsidP="000972DE">
            <w:pPr>
              <w:spacing w:after="100"/>
              <w:rPr>
                <w:sz w:val="2"/>
                <w:szCs w:val="2"/>
              </w:rPr>
            </w:pPr>
          </w:p>
        </w:tc>
        <w:tc>
          <w:tcPr>
            <w:tcW w:w="185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0070C0"/>
          </w:tcPr>
          <w:p w14:paraId="72141A85" w14:textId="77777777" w:rsidR="00937A03" w:rsidRDefault="00937A03" w:rsidP="000972DE">
            <w:pPr>
              <w:pStyle w:val="TableParagraph"/>
              <w:spacing w:before="134" w:after="100"/>
              <w:rPr>
                <w:sz w:val="16"/>
              </w:rPr>
            </w:pPr>
            <w:r>
              <w:rPr>
                <w:color w:val="FFFFFF"/>
                <w:sz w:val="16"/>
              </w:rPr>
              <w:t>Legal Fees: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</w:tcBorders>
            <w:shd w:val="clear" w:color="auto" w:fill="ECEAEA"/>
          </w:tcPr>
          <w:p w14:paraId="084A646B" w14:textId="2C64F090" w:rsidR="00937A03" w:rsidRDefault="003F617F" w:rsidP="000972DE">
            <w:pPr>
              <w:pStyle w:val="TableParagraph"/>
              <w:spacing w:before="120" w:after="100"/>
              <w:rPr>
                <w:sz w:val="16"/>
              </w:rPr>
            </w:pPr>
            <w:r>
              <w:rPr>
                <w:color w:val="595959" w:themeColor="text1" w:themeTint="A6"/>
                <w:sz w:val="16"/>
              </w:rPr>
              <w:t>At Cost Approx.  $</w:t>
            </w:r>
            <w:r w:rsidR="0044287A">
              <w:rPr>
                <w:color w:val="595959" w:themeColor="text1" w:themeTint="A6"/>
                <w:sz w:val="16"/>
              </w:rPr>
              <w:t>0</w:t>
            </w:r>
            <w:r w:rsidRPr="00C17CF8">
              <w:rPr>
                <w:color w:val="595959" w:themeColor="text1" w:themeTint="A6"/>
                <w:sz w:val="16"/>
              </w:rPr>
              <w:t xml:space="preserve"> – Individual borrowers. </w:t>
            </w:r>
            <w:r>
              <w:rPr>
                <w:color w:val="595959" w:themeColor="text1" w:themeTint="A6"/>
                <w:sz w:val="16"/>
              </w:rPr>
              <w:t xml:space="preserve">   </w:t>
            </w:r>
          </w:p>
        </w:tc>
      </w:tr>
      <w:tr w:rsidR="00937A03" w14:paraId="4599E358" w14:textId="77777777" w:rsidTr="00C64BE7">
        <w:trPr>
          <w:trHeight w:val="170"/>
        </w:trPr>
        <w:tc>
          <w:tcPr>
            <w:tcW w:w="1675" w:type="dxa"/>
            <w:vMerge/>
            <w:tcBorders>
              <w:top w:val="nil"/>
              <w:bottom w:val="single" w:sz="4" w:space="0" w:color="A6A6A6" w:themeColor="background1" w:themeShade="A6"/>
            </w:tcBorders>
            <w:shd w:val="clear" w:color="auto" w:fill="0070C0"/>
          </w:tcPr>
          <w:p w14:paraId="4407E87C" w14:textId="77777777" w:rsidR="00937A03" w:rsidRDefault="00937A03" w:rsidP="000972DE">
            <w:pPr>
              <w:spacing w:after="100"/>
              <w:rPr>
                <w:sz w:val="2"/>
                <w:szCs w:val="2"/>
              </w:rPr>
            </w:pPr>
          </w:p>
        </w:tc>
        <w:tc>
          <w:tcPr>
            <w:tcW w:w="3600" w:type="dxa"/>
            <w:vMerge/>
            <w:tcBorders>
              <w:top w:val="nil"/>
            </w:tcBorders>
            <w:shd w:val="clear" w:color="auto" w:fill="ECEAEA"/>
          </w:tcPr>
          <w:p w14:paraId="7E6EBAA1" w14:textId="77777777" w:rsidR="00937A03" w:rsidRPr="00F2643A" w:rsidRDefault="00937A03" w:rsidP="000972DE">
            <w:pPr>
              <w:spacing w:after="100"/>
              <w:rPr>
                <w:color w:val="595959" w:themeColor="text1" w:themeTint="A6"/>
                <w:sz w:val="2"/>
                <w:szCs w:val="2"/>
              </w:rPr>
            </w:pPr>
          </w:p>
        </w:tc>
        <w:tc>
          <w:tcPr>
            <w:tcW w:w="242" w:type="dxa"/>
            <w:vMerge/>
          </w:tcPr>
          <w:p w14:paraId="78FAADAB" w14:textId="77777777" w:rsidR="00937A03" w:rsidRDefault="00937A03" w:rsidP="000972DE">
            <w:pPr>
              <w:spacing w:after="100"/>
              <w:rPr>
                <w:sz w:val="2"/>
                <w:szCs w:val="2"/>
              </w:rPr>
            </w:pPr>
          </w:p>
        </w:tc>
        <w:tc>
          <w:tcPr>
            <w:tcW w:w="1854" w:type="dxa"/>
            <w:vMerge w:val="restart"/>
            <w:tcBorders>
              <w:top w:val="single" w:sz="4" w:space="0" w:color="A6A6A6" w:themeColor="background1" w:themeShade="A6"/>
            </w:tcBorders>
            <w:shd w:val="clear" w:color="auto" w:fill="0070C0"/>
          </w:tcPr>
          <w:p w14:paraId="43E56AA3" w14:textId="77777777" w:rsidR="00937A03" w:rsidRDefault="00937A03" w:rsidP="000972DE">
            <w:pPr>
              <w:pStyle w:val="TableParagraph"/>
              <w:spacing w:before="120" w:after="100"/>
              <w:rPr>
                <w:sz w:val="16"/>
              </w:rPr>
            </w:pPr>
            <w:r>
              <w:rPr>
                <w:color w:val="FFFFFF"/>
                <w:sz w:val="16"/>
              </w:rPr>
              <w:t>Risk Fee:</w:t>
            </w:r>
          </w:p>
        </w:tc>
        <w:tc>
          <w:tcPr>
            <w:tcW w:w="3402" w:type="dxa"/>
            <w:vMerge w:val="restart"/>
            <w:shd w:val="clear" w:color="auto" w:fill="ECEAEA"/>
          </w:tcPr>
          <w:p w14:paraId="5338D03F" w14:textId="77777777" w:rsidR="00937A03" w:rsidRDefault="00937A03" w:rsidP="000972DE">
            <w:pPr>
              <w:pStyle w:val="TableParagraph"/>
              <w:spacing w:before="120" w:after="100"/>
              <w:rPr>
                <w:sz w:val="16"/>
              </w:rPr>
            </w:pPr>
            <w:r w:rsidRPr="00F2643A">
              <w:rPr>
                <w:color w:val="595959" w:themeColor="text1" w:themeTint="A6"/>
                <w:sz w:val="16"/>
              </w:rPr>
              <w:t>Nil</w:t>
            </w:r>
          </w:p>
        </w:tc>
      </w:tr>
      <w:tr w:rsidR="00937A03" w14:paraId="0CCB4037" w14:textId="77777777" w:rsidTr="00C64BE7">
        <w:trPr>
          <w:trHeight w:val="280"/>
        </w:trPr>
        <w:tc>
          <w:tcPr>
            <w:tcW w:w="1675" w:type="dxa"/>
            <w:vMerge w:val="restart"/>
            <w:tcBorders>
              <w:top w:val="single" w:sz="4" w:space="0" w:color="A6A6A6" w:themeColor="background1" w:themeShade="A6"/>
            </w:tcBorders>
            <w:shd w:val="clear" w:color="auto" w:fill="0070C0"/>
          </w:tcPr>
          <w:p w14:paraId="3BB3745F" w14:textId="77777777" w:rsidR="00937A03" w:rsidRDefault="00937A03" w:rsidP="000972DE">
            <w:pPr>
              <w:pStyle w:val="TableParagraph"/>
              <w:spacing w:before="120" w:after="100" w:line="235" w:lineRule="auto"/>
              <w:ind w:right="424"/>
              <w:rPr>
                <w:sz w:val="16"/>
              </w:rPr>
            </w:pPr>
            <w:r>
              <w:rPr>
                <w:color w:val="FFFFFF"/>
                <w:sz w:val="16"/>
              </w:rPr>
              <w:t>Loan to Value Ratio:</w:t>
            </w:r>
          </w:p>
        </w:tc>
        <w:tc>
          <w:tcPr>
            <w:tcW w:w="3600" w:type="dxa"/>
            <w:vMerge w:val="restart"/>
            <w:shd w:val="clear" w:color="auto" w:fill="ECEAEA"/>
          </w:tcPr>
          <w:p w14:paraId="6E842C56" w14:textId="6EB52FD9" w:rsidR="00937A03" w:rsidRPr="00F2643A" w:rsidRDefault="008436A5" w:rsidP="000972DE">
            <w:pPr>
              <w:pStyle w:val="TableParagraph"/>
              <w:spacing w:before="110" w:after="100" w:line="278" w:lineRule="auto"/>
              <w:rPr>
                <w:color w:val="595959" w:themeColor="text1" w:themeTint="A6"/>
                <w:sz w:val="16"/>
              </w:rPr>
            </w:pPr>
            <w:r w:rsidRPr="00F2643A">
              <w:rPr>
                <w:color w:val="595959" w:themeColor="text1" w:themeTint="A6"/>
                <w:sz w:val="16"/>
              </w:rPr>
              <w:t>80</w:t>
            </w:r>
            <w:r w:rsidR="00937A03" w:rsidRPr="00F2643A">
              <w:rPr>
                <w:color w:val="595959" w:themeColor="text1" w:themeTint="A6"/>
                <w:sz w:val="16"/>
              </w:rPr>
              <w:t>% maximum LVR including</w:t>
            </w:r>
            <w:r w:rsidRPr="00F2643A">
              <w:rPr>
                <w:color w:val="595959" w:themeColor="text1" w:themeTint="A6"/>
                <w:sz w:val="16"/>
              </w:rPr>
              <w:t xml:space="preserve"> funded</w:t>
            </w:r>
            <w:r w:rsidR="00937A03" w:rsidRPr="00F2643A">
              <w:rPr>
                <w:color w:val="595959" w:themeColor="text1" w:themeTint="A6"/>
                <w:sz w:val="16"/>
              </w:rPr>
              <w:t xml:space="preserve"> interest </w:t>
            </w:r>
            <w:r w:rsidRPr="00F2643A">
              <w:rPr>
                <w:color w:val="595959" w:themeColor="text1" w:themeTint="A6"/>
                <w:sz w:val="16"/>
              </w:rPr>
              <w:t>budget (</w:t>
            </w:r>
            <w:r w:rsidR="00FE24C0">
              <w:rPr>
                <w:color w:val="595959" w:themeColor="text1" w:themeTint="A6"/>
                <w:sz w:val="16"/>
              </w:rPr>
              <w:t>5</w:t>
            </w:r>
            <w:r w:rsidRPr="00F2643A">
              <w:rPr>
                <w:color w:val="595959" w:themeColor="text1" w:themeTint="A6"/>
                <w:sz w:val="16"/>
              </w:rPr>
              <w:t>% allowed for selling costs)</w:t>
            </w:r>
            <w:r w:rsidR="00937A03" w:rsidRPr="00F2643A">
              <w:rPr>
                <w:color w:val="595959" w:themeColor="text1" w:themeTint="A6"/>
                <w:sz w:val="16"/>
              </w:rPr>
              <w:t>.</w:t>
            </w:r>
            <w:r w:rsidR="00916DC0">
              <w:rPr>
                <w:color w:val="595959" w:themeColor="text1" w:themeTint="A6"/>
                <w:sz w:val="16"/>
              </w:rPr>
              <w:t xml:space="preserve"> Max. 7</w:t>
            </w:r>
            <w:r w:rsidR="00FE7C8D">
              <w:rPr>
                <w:color w:val="595959" w:themeColor="text1" w:themeTint="A6"/>
                <w:sz w:val="16"/>
              </w:rPr>
              <w:t>5</w:t>
            </w:r>
            <w:r w:rsidR="00916DC0">
              <w:rPr>
                <w:color w:val="595959" w:themeColor="text1" w:themeTint="A6"/>
                <w:sz w:val="16"/>
              </w:rPr>
              <w:t>% allowed on existing property unless it is under contract</w:t>
            </w:r>
            <w:r w:rsidR="00FE7C8D">
              <w:rPr>
                <w:color w:val="595959" w:themeColor="text1" w:themeTint="A6"/>
                <w:sz w:val="16"/>
              </w:rPr>
              <w:t xml:space="preserve"> (80%).</w:t>
            </w:r>
          </w:p>
        </w:tc>
        <w:tc>
          <w:tcPr>
            <w:tcW w:w="242" w:type="dxa"/>
            <w:vMerge/>
          </w:tcPr>
          <w:p w14:paraId="5FA5D88D" w14:textId="77777777" w:rsidR="00937A03" w:rsidRDefault="00937A03" w:rsidP="000972DE">
            <w:pPr>
              <w:spacing w:after="100"/>
              <w:rPr>
                <w:sz w:val="2"/>
                <w:szCs w:val="2"/>
              </w:rPr>
            </w:pPr>
          </w:p>
        </w:tc>
        <w:tc>
          <w:tcPr>
            <w:tcW w:w="1854" w:type="dxa"/>
            <w:vMerge/>
            <w:tcBorders>
              <w:top w:val="nil"/>
              <w:bottom w:val="single" w:sz="4" w:space="0" w:color="A6A6A6" w:themeColor="background1" w:themeShade="A6"/>
            </w:tcBorders>
            <w:shd w:val="clear" w:color="auto" w:fill="0070C0"/>
          </w:tcPr>
          <w:p w14:paraId="7871760E" w14:textId="77777777" w:rsidR="00937A03" w:rsidRDefault="00937A03" w:rsidP="000972DE">
            <w:pPr>
              <w:spacing w:after="100"/>
              <w:rPr>
                <w:sz w:val="2"/>
                <w:szCs w:val="2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  <w:shd w:val="clear" w:color="auto" w:fill="ECEAEA"/>
          </w:tcPr>
          <w:p w14:paraId="33CAF950" w14:textId="77777777" w:rsidR="00937A03" w:rsidRDefault="00937A03" w:rsidP="000972DE">
            <w:pPr>
              <w:spacing w:after="100"/>
              <w:rPr>
                <w:sz w:val="2"/>
                <w:szCs w:val="2"/>
              </w:rPr>
            </w:pPr>
          </w:p>
        </w:tc>
      </w:tr>
      <w:tr w:rsidR="00937A03" w14:paraId="1F0359FD" w14:textId="77777777" w:rsidTr="00C64BE7">
        <w:trPr>
          <w:trHeight w:val="370"/>
        </w:trPr>
        <w:tc>
          <w:tcPr>
            <w:tcW w:w="1675" w:type="dxa"/>
            <w:vMerge/>
            <w:tcBorders>
              <w:top w:val="nil"/>
              <w:bottom w:val="single" w:sz="4" w:space="0" w:color="A6A6A6" w:themeColor="background1" w:themeShade="A6"/>
            </w:tcBorders>
            <w:shd w:val="clear" w:color="auto" w:fill="0070C0"/>
          </w:tcPr>
          <w:p w14:paraId="6C6B42C3" w14:textId="77777777" w:rsidR="00937A03" w:rsidRDefault="00937A03" w:rsidP="000972DE">
            <w:pPr>
              <w:spacing w:after="100"/>
              <w:rPr>
                <w:sz w:val="2"/>
                <w:szCs w:val="2"/>
              </w:rPr>
            </w:pPr>
          </w:p>
        </w:tc>
        <w:tc>
          <w:tcPr>
            <w:tcW w:w="3600" w:type="dxa"/>
            <w:vMerge/>
            <w:tcBorders>
              <w:top w:val="nil"/>
            </w:tcBorders>
            <w:shd w:val="clear" w:color="auto" w:fill="ECEAEA"/>
          </w:tcPr>
          <w:p w14:paraId="69ED294D" w14:textId="77777777" w:rsidR="00937A03" w:rsidRPr="00F2643A" w:rsidRDefault="00937A03" w:rsidP="000972DE">
            <w:pPr>
              <w:spacing w:after="100"/>
              <w:rPr>
                <w:color w:val="595959" w:themeColor="text1" w:themeTint="A6"/>
                <w:sz w:val="2"/>
                <w:szCs w:val="2"/>
              </w:rPr>
            </w:pPr>
          </w:p>
        </w:tc>
        <w:tc>
          <w:tcPr>
            <w:tcW w:w="242" w:type="dxa"/>
            <w:vMerge/>
          </w:tcPr>
          <w:p w14:paraId="4A564F8E" w14:textId="77777777" w:rsidR="00937A03" w:rsidRDefault="00937A03" w:rsidP="000972DE">
            <w:pPr>
              <w:spacing w:after="100"/>
              <w:rPr>
                <w:sz w:val="2"/>
                <w:szCs w:val="2"/>
              </w:rPr>
            </w:pPr>
          </w:p>
        </w:tc>
        <w:tc>
          <w:tcPr>
            <w:tcW w:w="185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0070C0"/>
          </w:tcPr>
          <w:p w14:paraId="6C36D998" w14:textId="77777777" w:rsidR="00937A03" w:rsidRDefault="00937A03" w:rsidP="000972DE">
            <w:pPr>
              <w:pStyle w:val="TableParagraph"/>
              <w:spacing w:before="120" w:after="100"/>
              <w:rPr>
                <w:sz w:val="16"/>
              </w:rPr>
            </w:pPr>
            <w:r>
              <w:rPr>
                <w:color w:val="FFFFFF"/>
                <w:sz w:val="16"/>
              </w:rPr>
              <w:t>Settlement Fee:</w:t>
            </w: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  <w:shd w:val="clear" w:color="auto" w:fill="ECEAEA"/>
          </w:tcPr>
          <w:p w14:paraId="0F468259" w14:textId="264D5177" w:rsidR="00937A03" w:rsidRDefault="003F617F" w:rsidP="000972DE">
            <w:pPr>
              <w:pStyle w:val="TableParagraph"/>
              <w:spacing w:before="120" w:after="100"/>
              <w:rPr>
                <w:sz w:val="16"/>
              </w:rPr>
            </w:pPr>
            <w:r>
              <w:rPr>
                <w:color w:val="404040" w:themeColor="text1" w:themeTint="BF"/>
                <w:sz w:val="16"/>
              </w:rPr>
              <w:t>0</w:t>
            </w:r>
            <w:r w:rsidRPr="00BA0B5E">
              <w:rPr>
                <w:color w:val="404040" w:themeColor="text1" w:themeTint="BF"/>
                <w:sz w:val="16"/>
              </w:rPr>
              <w:t>.</w:t>
            </w:r>
            <w:r w:rsidR="00111227">
              <w:rPr>
                <w:color w:val="404040" w:themeColor="text1" w:themeTint="BF"/>
                <w:sz w:val="16"/>
              </w:rPr>
              <w:t>2</w:t>
            </w:r>
            <w:r>
              <w:rPr>
                <w:color w:val="404040" w:themeColor="text1" w:themeTint="BF"/>
                <w:sz w:val="16"/>
              </w:rPr>
              <w:t>0</w:t>
            </w:r>
            <w:r w:rsidRPr="00BA0B5E">
              <w:rPr>
                <w:color w:val="404040" w:themeColor="text1" w:themeTint="BF"/>
                <w:sz w:val="16"/>
              </w:rPr>
              <w:t>% of loan amount</w:t>
            </w:r>
            <w:r>
              <w:rPr>
                <w:color w:val="404040" w:themeColor="text1" w:themeTint="BF"/>
                <w:sz w:val="16"/>
              </w:rPr>
              <w:t xml:space="preserve">.                      </w:t>
            </w:r>
          </w:p>
        </w:tc>
      </w:tr>
      <w:tr w:rsidR="00937A03" w14:paraId="58C6052E" w14:textId="77777777" w:rsidTr="00C64BE7">
        <w:trPr>
          <w:trHeight w:val="420"/>
        </w:trPr>
        <w:tc>
          <w:tcPr>
            <w:tcW w:w="167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0070C0"/>
          </w:tcPr>
          <w:p w14:paraId="5EA00797" w14:textId="77777777" w:rsidR="00937A03" w:rsidRDefault="00937A03" w:rsidP="004828CA">
            <w:pPr>
              <w:pStyle w:val="TableParagraph"/>
              <w:spacing w:before="120"/>
              <w:rPr>
                <w:sz w:val="16"/>
              </w:rPr>
            </w:pPr>
            <w:r>
              <w:rPr>
                <w:color w:val="FFFFFF"/>
                <w:sz w:val="16"/>
              </w:rPr>
              <w:t>Term:</w:t>
            </w:r>
          </w:p>
        </w:tc>
        <w:tc>
          <w:tcPr>
            <w:tcW w:w="3600" w:type="dxa"/>
            <w:shd w:val="clear" w:color="auto" w:fill="ECEAEA"/>
          </w:tcPr>
          <w:p w14:paraId="3C500D0A" w14:textId="60BF4962" w:rsidR="00937A03" w:rsidRPr="00F2643A" w:rsidRDefault="00937A03">
            <w:pPr>
              <w:pStyle w:val="TableParagraph"/>
              <w:rPr>
                <w:color w:val="595959" w:themeColor="text1" w:themeTint="A6"/>
                <w:sz w:val="16"/>
              </w:rPr>
            </w:pPr>
            <w:r w:rsidRPr="00F2643A">
              <w:rPr>
                <w:color w:val="595959" w:themeColor="text1" w:themeTint="A6"/>
                <w:sz w:val="16"/>
              </w:rPr>
              <w:t>30 years maximum.</w:t>
            </w:r>
          </w:p>
        </w:tc>
        <w:tc>
          <w:tcPr>
            <w:tcW w:w="242" w:type="dxa"/>
            <w:vMerge/>
          </w:tcPr>
          <w:p w14:paraId="661102A9" w14:textId="77777777" w:rsidR="00937A03" w:rsidRDefault="00937A03">
            <w:pPr>
              <w:rPr>
                <w:sz w:val="2"/>
                <w:szCs w:val="2"/>
              </w:rPr>
            </w:pPr>
          </w:p>
        </w:tc>
        <w:tc>
          <w:tcPr>
            <w:tcW w:w="185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0070C0"/>
          </w:tcPr>
          <w:p w14:paraId="359FF8EB" w14:textId="77777777" w:rsidR="00937A03" w:rsidRDefault="00937A03" w:rsidP="004828CA">
            <w:pPr>
              <w:pStyle w:val="TableParagraph"/>
              <w:spacing w:before="120" w:after="120"/>
              <w:rPr>
                <w:sz w:val="16"/>
              </w:rPr>
            </w:pPr>
            <w:r>
              <w:rPr>
                <w:color w:val="FFFFFF"/>
                <w:sz w:val="16"/>
              </w:rPr>
              <w:t>Title Insurance: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ECEAEA"/>
          </w:tcPr>
          <w:p w14:paraId="551D1BF2" w14:textId="140A582C" w:rsidR="00937A03" w:rsidRDefault="0044287A" w:rsidP="004828CA">
            <w:pPr>
              <w:pStyle w:val="TableParagraph"/>
              <w:spacing w:before="120" w:after="120"/>
              <w:rPr>
                <w:sz w:val="16"/>
              </w:rPr>
            </w:pPr>
            <w:r>
              <w:rPr>
                <w:color w:val="595959" w:themeColor="text1" w:themeTint="A6"/>
                <w:sz w:val="16"/>
              </w:rPr>
              <w:t>Varies with loan size – allow min. $360</w:t>
            </w:r>
          </w:p>
        </w:tc>
      </w:tr>
      <w:tr w:rsidR="00937A03" w14:paraId="2D1A67D2" w14:textId="77777777" w:rsidTr="00C64BE7">
        <w:trPr>
          <w:trHeight w:val="420"/>
        </w:trPr>
        <w:tc>
          <w:tcPr>
            <w:tcW w:w="167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0070C0"/>
          </w:tcPr>
          <w:p w14:paraId="03EED2A3" w14:textId="77777777" w:rsidR="00937A03" w:rsidRDefault="00937A03" w:rsidP="004828CA">
            <w:pPr>
              <w:pStyle w:val="TableParagraph"/>
              <w:spacing w:before="120"/>
              <w:rPr>
                <w:color w:val="FFFFFF"/>
                <w:sz w:val="16"/>
              </w:rPr>
            </w:pPr>
            <w:r>
              <w:rPr>
                <w:color w:val="FFFFFF"/>
                <w:sz w:val="16"/>
              </w:rPr>
              <w:t>Credit History:</w:t>
            </w:r>
          </w:p>
        </w:tc>
        <w:tc>
          <w:tcPr>
            <w:tcW w:w="3600" w:type="dxa"/>
            <w:shd w:val="clear" w:color="auto" w:fill="ECEAEA"/>
          </w:tcPr>
          <w:p w14:paraId="7C136FB5" w14:textId="7A10EF2B" w:rsidR="00937A03" w:rsidRPr="00F2643A" w:rsidRDefault="000A7A1C" w:rsidP="008436A5">
            <w:pPr>
              <w:pStyle w:val="TableParagraph"/>
              <w:spacing w:after="120"/>
              <w:rPr>
                <w:color w:val="595959" w:themeColor="text1" w:themeTint="A6"/>
                <w:sz w:val="16"/>
              </w:rPr>
            </w:pPr>
            <w:r>
              <w:rPr>
                <w:color w:val="595959" w:themeColor="text1" w:themeTint="A6"/>
                <w:sz w:val="16"/>
              </w:rPr>
              <w:t>Unlimited D</w:t>
            </w:r>
            <w:r w:rsidRPr="00C17CF8">
              <w:rPr>
                <w:color w:val="595959" w:themeColor="text1" w:themeTint="A6"/>
                <w:sz w:val="16"/>
              </w:rPr>
              <w:t>efaults &lt;$</w:t>
            </w:r>
            <w:r>
              <w:rPr>
                <w:color w:val="595959" w:themeColor="text1" w:themeTint="A6"/>
                <w:sz w:val="16"/>
              </w:rPr>
              <w:t>1,0</w:t>
            </w:r>
            <w:r w:rsidRPr="00C17CF8">
              <w:rPr>
                <w:color w:val="595959" w:themeColor="text1" w:themeTint="A6"/>
                <w:sz w:val="16"/>
              </w:rPr>
              <w:t xml:space="preserve">00 </w:t>
            </w:r>
            <w:r>
              <w:rPr>
                <w:color w:val="595959" w:themeColor="text1" w:themeTint="A6"/>
                <w:sz w:val="16"/>
              </w:rPr>
              <w:t>(paid or Unpaid)</w:t>
            </w:r>
            <w:r w:rsidRPr="00C17CF8">
              <w:rPr>
                <w:color w:val="595959" w:themeColor="text1" w:themeTint="A6"/>
                <w:sz w:val="16"/>
              </w:rPr>
              <w:t>.</w:t>
            </w:r>
            <w:r>
              <w:rPr>
                <w:color w:val="595959" w:themeColor="text1" w:themeTint="A6"/>
                <w:sz w:val="16"/>
              </w:rPr>
              <w:t xml:space="preserve">           Max 2 Paid defaults Listed &gt;1Yr Paid.                   Mortgage arrears &lt;1 month (paid) OK.</w:t>
            </w:r>
          </w:p>
        </w:tc>
        <w:tc>
          <w:tcPr>
            <w:tcW w:w="242" w:type="dxa"/>
            <w:vMerge/>
          </w:tcPr>
          <w:p w14:paraId="10B17150" w14:textId="77777777" w:rsidR="00937A03" w:rsidRDefault="00937A03" w:rsidP="00BD5D52">
            <w:pPr>
              <w:rPr>
                <w:sz w:val="2"/>
                <w:szCs w:val="2"/>
              </w:rPr>
            </w:pPr>
          </w:p>
        </w:tc>
        <w:tc>
          <w:tcPr>
            <w:tcW w:w="185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0070C0"/>
          </w:tcPr>
          <w:p w14:paraId="0254B59A" w14:textId="73AF9446" w:rsidR="00937A03" w:rsidRDefault="007E17D5" w:rsidP="00BD5D52">
            <w:pPr>
              <w:pStyle w:val="TableParagraph"/>
              <w:spacing w:before="158"/>
              <w:rPr>
                <w:color w:val="FFFFFF"/>
                <w:sz w:val="16"/>
              </w:rPr>
            </w:pPr>
            <w:r>
              <w:rPr>
                <w:color w:val="FFFFFF"/>
                <w:sz w:val="16"/>
              </w:rPr>
              <w:t>Offset Account: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ECEAEA"/>
          </w:tcPr>
          <w:p w14:paraId="06C77684" w14:textId="706FB8F3" w:rsidR="00937A03" w:rsidRDefault="007E17D5" w:rsidP="00937A03">
            <w:pPr>
              <w:pStyle w:val="TableParagraph"/>
              <w:spacing w:before="120" w:after="120"/>
              <w:rPr>
                <w:color w:val="444143"/>
                <w:sz w:val="16"/>
              </w:rPr>
            </w:pPr>
            <w:r w:rsidRPr="00F2643A">
              <w:rPr>
                <w:color w:val="595959" w:themeColor="text1" w:themeTint="A6"/>
                <w:sz w:val="16"/>
              </w:rPr>
              <w:t>Not Applicable.</w:t>
            </w:r>
          </w:p>
        </w:tc>
      </w:tr>
      <w:tr w:rsidR="00937A03" w14:paraId="35D4F895" w14:textId="77777777" w:rsidTr="00C64BE7">
        <w:trPr>
          <w:trHeight w:val="420"/>
        </w:trPr>
        <w:tc>
          <w:tcPr>
            <w:tcW w:w="167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0070C0"/>
          </w:tcPr>
          <w:p w14:paraId="690DA0CB" w14:textId="77777777" w:rsidR="00937A03" w:rsidRDefault="00937A03" w:rsidP="004828CA">
            <w:pPr>
              <w:pStyle w:val="TableParagraph"/>
              <w:spacing w:before="120"/>
              <w:rPr>
                <w:color w:val="FFFFFF"/>
                <w:sz w:val="16"/>
              </w:rPr>
            </w:pPr>
            <w:r>
              <w:rPr>
                <w:color w:val="FFFFFF"/>
                <w:sz w:val="16"/>
              </w:rPr>
              <w:t>Debt Consolidation:</w:t>
            </w:r>
          </w:p>
        </w:tc>
        <w:tc>
          <w:tcPr>
            <w:tcW w:w="3600" w:type="dxa"/>
            <w:shd w:val="clear" w:color="auto" w:fill="ECEAEA"/>
          </w:tcPr>
          <w:p w14:paraId="4ADE8192" w14:textId="781A821F" w:rsidR="00937A03" w:rsidRPr="00F2643A" w:rsidRDefault="001338F6" w:rsidP="00BD5D52">
            <w:pPr>
              <w:pStyle w:val="TableParagraph"/>
              <w:rPr>
                <w:color w:val="595959" w:themeColor="text1" w:themeTint="A6"/>
                <w:sz w:val="16"/>
              </w:rPr>
            </w:pPr>
            <w:r w:rsidRPr="00F2643A">
              <w:rPr>
                <w:color w:val="595959" w:themeColor="text1" w:themeTint="A6"/>
                <w:sz w:val="16"/>
              </w:rPr>
              <w:t>Not applicable.</w:t>
            </w:r>
          </w:p>
        </w:tc>
        <w:tc>
          <w:tcPr>
            <w:tcW w:w="242" w:type="dxa"/>
            <w:vMerge/>
          </w:tcPr>
          <w:p w14:paraId="551D9CE6" w14:textId="77777777" w:rsidR="00937A03" w:rsidRDefault="00937A03" w:rsidP="00BD5D52">
            <w:pPr>
              <w:rPr>
                <w:sz w:val="2"/>
                <w:szCs w:val="2"/>
              </w:rPr>
            </w:pPr>
          </w:p>
        </w:tc>
        <w:tc>
          <w:tcPr>
            <w:tcW w:w="185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0070C0"/>
          </w:tcPr>
          <w:p w14:paraId="6C18FBBE" w14:textId="77777777" w:rsidR="00937A03" w:rsidRDefault="00937A03" w:rsidP="004828CA">
            <w:pPr>
              <w:pStyle w:val="TableParagraph"/>
              <w:spacing w:before="120" w:after="120"/>
              <w:rPr>
                <w:color w:val="FFFFFF"/>
                <w:sz w:val="16"/>
              </w:rPr>
            </w:pPr>
            <w:r>
              <w:rPr>
                <w:color w:val="FFFFFF"/>
                <w:sz w:val="16"/>
              </w:rPr>
              <w:t>Monthly Fee: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ECEAEA"/>
          </w:tcPr>
          <w:p w14:paraId="157EA036" w14:textId="2124CE36" w:rsidR="00937A03" w:rsidRPr="00F2643A" w:rsidRDefault="00937A03" w:rsidP="004828CA">
            <w:pPr>
              <w:pStyle w:val="TableParagraph"/>
              <w:spacing w:before="120" w:after="120"/>
              <w:rPr>
                <w:color w:val="595959" w:themeColor="text1" w:themeTint="A6"/>
                <w:sz w:val="16"/>
              </w:rPr>
            </w:pPr>
            <w:r w:rsidRPr="00F2643A">
              <w:rPr>
                <w:color w:val="595959" w:themeColor="text1" w:themeTint="A6"/>
                <w:sz w:val="16"/>
              </w:rPr>
              <w:t>$</w:t>
            </w:r>
            <w:r w:rsidR="00246FC0" w:rsidRPr="00F2643A">
              <w:rPr>
                <w:color w:val="595959" w:themeColor="text1" w:themeTint="A6"/>
                <w:sz w:val="16"/>
              </w:rPr>
              <w:t>Nil</w:t>
            </w:r>
          </w:p>
        </w:tc>
      </w:tr>
      <w:tr w:rsidR="00937A03" w14:paraId="3AB37943" w14:textId="77777777" w:rsidTr="00C64BE7">
        <w:trPr>
          <w:trHeight w:val="420"/>
        </w:trPr>
        <w:tc>
          <w:tcPr>
            <w:tcW w:w="167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0070C0"/>
          </w:tcPr>
          <w:p w14:paraId="4651321D" w14:textId="77777777" w:rsidR="00937A03" w:rsidRDefault="00937A03" w:rsidP="004828CA">
            <w:pPr>
              <w:pStyle w:val="TableParagraph"/>
              <w:spacing w:before="120" w:after="120"/>
              <w:rPr>
                <w:color w:val="FFFFFF"/>
                <w:sz w:val="16"/>
              </w:rPr>
            </w:pPr>
            <w:r>
              <w:rPr>
                <w:color w:val="FFFFFF"/>
                <w:sz w:val="16"/>
              </w:rPr>
              <w:t>Loan Type:</w:t>
            </w:r>
          </w:p>
        </w:tc>
        <w:tc>
          <w:tcPr>
            <w:tcW w:w="3600" w:type="dxa"/>
            <w:shd w:val="clear" w:color="auto" w:fill="ECEAEA"/>
          </w:tcPr>
          <w:p w14:paraId="33FC4F0A" w14:textId="77777777" w:rsidR="00937A03" w:rsidRPr="00F2643A" w:rsidRDefault="00937A03" w:rsidP="00BD5D52">
            <w:pPr>
              <w:pStyle w:val="TableParagraph"/>
              <w:rPr>
                <w:color w:val="595959" w:themeColor="text1" w:themeTint="A6"/>
                <w:sz w:val="16"/>
              </w:rPr>
            </w:pPr>
            <w:r w:rsidRPr="00F2643A">
              <w:rPr>
                <w:color w:val="595959" w:themeColor="text1" w:themeTint="A6"/>
                <w:sz w:val="16"/>
              </w:rPr>
              <w:t>Altdoc or Full Doc allowed.</w:t>
            </w:r>
          </w:p>
        </w:tc>
        <w:tc>
          <w:tcPr>
            <w:tcW w:w="242" w:type="dxa"/>
            <w:vMerge/>
          </w:tcPr>
          <w:p w14:paraId="7170F790" w14:textId="77777777" w:rsidR="00937A03" w:rsidRDefault="00937A03" w:rsidP="00BD5D52">
            <w:pPr>
              <w:rPr>
                <w:sz w:val="2"/>
                <w:szCs w:val="2"/>
              </w:rPr>
            </w:pPr>
          </w:p>
        </w:tc>
        <w:tc>
          <w:tcPr>
            <w:tcW w:w="185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0070C0"/>
          </w:tcPr>
          <w:p w14:paraId="15D653B7" w14:textId="77777777" w:rsidR="00937A03" w:rsidRDefault="00937A03" w:rsidP="004828CA">
            <w:pPr>
              <w:pStyle w:val="TableParagraph"/>
              <w:spacing w:before="120" w:after="120"/>
              <w:rPr>
                <w:color w:val="FFFFFF"/>
                <w:sz w:val="16"/>
              </w:rPr>
            </w:pPr>
            <w:r>
              <w:rPr>
                <w:color w:val="FFFFFF"/>
                <w:sz w:val="16"/>
              </w:rPr>
              <w:t>Early Repayment Fee: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ECEAEA"/>
          </w:tcPr>
          <w:p w14:paraId="5A564575" w14:textId="5A8F1488" w:rsidR="00937A03" w:rsidRPr="00F2643A" w:rsidRDefault="006D034D" w:rsidP="004828CA">
            <w:pPr>
              <w:pStyle w:val="TableParagraph"/>
              <w:spacing w:before="120" w:after="120"/>
              <w:rPr>
                <w:color w:val="595959" w:themeColor="text1" w:themeTint="A6"/>
                <w:sz w:val="16"/>
              </w:rPr>
            </w:pPr>
            <w:r w:rsidRPr="00F2643A">
              <w:rPr>
                <w:color w:val="595959" w:themeColor="text1" w:themeTint="A6"/>
                <w:sz w:val="16"/>
              </w:rPr>
              <w:t>Not applicable.</w:t>
            </w:r>
          </w:p>
        </w:tc>
      </w:tr>
      <w:tr w:rsidR="00937A03" w14:paraId="3D30180B" w14:textId="77777777" w:rsidTr="00C64BE7">
        <w:trPr>
          <w:trHeight w:val="420"/>
        </w:trPr>
        <w:tc>
          <w:tcPr>
            <w:tcW w:w="167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0070C0"/>
          </w:tcPr>
          <w:p w14:paraId="123FDE6D" w14:textId="77777777" w:rsidR="00937A03" w:rsidRDefault="00937A03" w:rsidP="004828CA">
            <w:pPr>
              <w:pStyle w:val="TableParagraph"/>
              <w:spacing w:before="120"/>
              <w:rPr>
                <w:color w:val="FFFFFF"/>
                <w:sz w:val="16"/>
              </w:rPr>
            </w:pPr>
            <w:r>
              <w:rPr>
                <w:color w:val="FFFFFF"/>
                <w:sz w:val="16"/>
              </w:rPr>
              <w:t>Purpose:</w:t>
            </w:r>
          </w:p>
        </w:tc>
        <w:tc>
          <w:tcPr>
            <w:tcW w:w="3600" w:type="dxa"/>
            <w:shd w:val="clear" w:color="auto" w:fill="ECEAEA"/>
          </w:tcPr>
          <w:p w14:paraId="3744C255" w14:textId="39E8B4EF" w:rsidR="00937A03" w:rsidRPr="00F2643A" w:rsidRDefault="001338F6" w:rsidP="001338F6">
            <w:pPr>
              <w:pStyle w:val="TableParagraph"/>
              <w:spacing w:after="120"/>
              <w:rPr>
                <w:color w:val="595959" w:themeColor="text1" w:themeTint="A6"/>
                <w:sz w:val="16"/>
              </w:rPr>
            </w:pPr>
            <w:r w:rsidRPr="00F2643A">
              <w:rPr>
                <w:color w:val="595959" w:themeColor="text1" w:themeTint="A6"/>
                <w:sz w:val="16"/>
              </w:rPr>
              <w:t>Must include a purchase. No Cash Out or debt consolidation allowed.</w:t>
            </w:r>
          </w:p>
        </w:tc>
        <w:tc>
          <w:tcPr>
            <w:tcW w:w="242" w:type="dxa"/>
            <w:vMerge/>
          </w:tcPr>
          <w:p w14:paraId="63DFFC56" w14:textId="77777777" w:rsidR="00937A03" w:rsidRDefault="00937A03" w:rsidP="00BD5D52">
            <w:pPr>
              <w:rPr>
                <w:sz w:val="2"/>
                <w:szCs w:val="2"/>
              </w:rPr>
            </w:pPr>
          </w:p>
        </w:tc>
        <w:tc>
          <w:tcPr>
            <w:tcW w:w="185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0070C0"/>
          </w:tcPr>
          <w:p w14:paraId="22E057B2" w14:textId="77777777" w:rsidR="00937A03" w:rsidRDefault="00937A03" w:rsidP="00BD5D52">
            <w:pPr>
              <w:pStyle w:val="TableParagraph"/>
              <w:spacing w:before="158"/>
              <w:rPr>
                <w:color w:val="FFFFFF"/>
                <w:sz w:val="16"/>
              </w:rPr>
            </w:pPr>
            <w:r>
              <w:rPr>
                <w:color w:val="FFFFFF"/>
                <w:sz w:val="16"/>
              </w:rPr>
              <w:t>Redraw: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ECEAEA"/>
          </w:tcPr>
          <w:p w14:paraId="13910316" w14:textId="30902FED" w:rsidR="00937A03" w:rsidRPr="00F2643A" w:rsidRDefault="00937A03" w:rsidP="00BD5D52">
            <w:pPr>
              <w:pStyle w:val="TableParagraph"/>
              <w:spacing w:before="158"/>
              <w:rPr>
                <w:color w:val="595959" w:themeColor="text1" w:themeTint="A6"/>
                <w:sz w:val="16"/>
              </w:rPr>
            </w:pPr>
            <w:r w:rsidRPr="00F2643A">
              <w:rPr>
                <w:color w:val="595959" w:themeColor="text1" w:themeTint="A6"/>
                <w:sz w:val="16"/>
              </w:rPr>
              <w:t>Not Available</w:t>
            </w:r>
            <w:r w:rsidR="006D034D" w:rsidRPr="00F2643A">
              <w:rPr>
                <w:color w:val="595959" w:themeColor="text1" w:themeTint="A6"/>
                <w:sz w:val="16"/>
              </w:rPr>
              <w:t xml:space="preserve"> on Bridging Loans.</w:t>
            </w:r>
          </w:p>
        </w:tc>
      </w:tr>
      <w:tr w:rsidR="00937A03" w14:paraId="236B1D9E" w14:textId="77777777" w:rsidTr="00C64BE7">
        <w:trPr>
          <w:trHeight w:val="420"/>
        </w:trPr>
        <w:tc>
          <w:tcPr>
            <w:tcW w:w="167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0070C0"/>
          </w:tcPr>
          <w:p w14:paraId="7917288C" w14:textId="77777777" w:rsidR="00937A03" w:rsidRDefault="00937A03" w:rsidP="004828CA">
            <w:pPr>
              <w:pStyle w:val="TableParagraph"/>
              <w:spacing w:before="120"/>
              <w:rPr>
                <w:color w:val="FFFFFF"/>
                <w:sz w:val="16"/>
              </w:rPr>
            </w:pPr>
            <w:r>
              <w:rPr>
                <w:color w:val="FFFFFF"/>
                <w:sz w:val="16"/>
              </w:rPr>
              <w:t>Locations:</w:t>
            </w:r>
          </w:p>
        </w:tc>
        <w:tc>
          <w:tcPr>
            <w:tcW w:w="3600" w:type="dxa"/>
            <w:shd w:val="clear" w:color="auto" w:fill="ECEAEA"/>
          </w:tcPr>
          <w:p w14:paraId="087B78CD" w14:textId="0A0F0A9F" w:rsidR="00937A03" w:rsidRPr="00F2643A" w:rsidRDefault="001338F6" w:rsidP="00BD5D52">
            <w:pPr>
              <w:pStyle w:val="TableParagraph"/>
              <w:rPr>
                <w:color w:val="595959" w:themeColor="text1" w:themeTint="A6"/>
                <w:sz w:val="16"/>
              </w:rPr>
            </w:pPr>
            <w:r w:rsidRPr="00F2643A">
              <w:rPr>
                <w:color w:val="595959" w:themeColor="text1" w:themeTint="A6"/>
                <w:sz w:val="16"/>
              </w:rPr>
              <w:t>Cat 1</w:t>
            </w:r>
            <w:r w:rsidR="00664098">
              <w:rPr>
                <w:color w:val="595959" w:themeColor="text1" w:themeTint="A6"/>
                <w:sz w:val="16"/>
              </w:rPr>
              <w:t xml:space="preserve"> &amp;</w:t>
            </w:r>
            <w:r w:rsidRPr="00F2643A">
              <w:rPr>
                <w:color w:val="595959" w:themeColor="text1" w:themeTint="A6"/>
                <w:sz w:val="16"/>
              </w:rPr>
              <w:t xml:space="preserve"> 2 </w:t>
            </w:r>
            <w:r w:rsidR="00937A03" w:rsidRPr="00F2643A">
              <w:rPr>
                <w:color w:val="595959" w:themeColor="text1" w:themeTint="A6"/>
                <w:sz w:val="16"/>
              </w:rPr>
              <w:t>locations</w:t>
            </w:r>
            <w:r w:rsidRPr="00F2643A">
              <w:rPr>
                <w:color w:val="595959" w:themeColor="text1" w:themeTint="A6"/>
                <w:sz w:val="16"/>
              </w:rPr>
              <w:t xml:space="preserve"> only</w:t>
            </w:r>
            <w:r w:rsidR="000A7A1C">
              <w:rPr>
                <w:color w:val="595959" w:themeColor="text1" w:themeTint="A6"/>
                <w:sz w:val="16"/>
              </w:rPr>
              <w:t>.</w:t>
            </w:r>
          </w:p>
        </w:tc>
        <w:tc>
          <w:tcPr>
            <w:tcW w:w="242" w:type="dxa"/>
            <w:vMerge/>
          </w:tcPr>
          <w:p w14:paraId="03D6005B" w14:textId="77777777" w:rsidR="00937A03" w:rsidRDefault="00937A03" w:rsidP="00BD5D52">
            <w:pPr>
              <w:rPr>
                <w:sz w:val="2"/>
                <w:szCs w:val="2"/>
              </w:rPr>
            </w:pPr>
          </w:p>
        </w:tc>
        <w:tc>
          <w:tcPr>
            <w:tcW w:w="185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0070C0"/>
          </w:tcPr>
          <w:p w14:paraId="43D85928" w14:textId="77777777" w:rsidR="00937A03" w:rsidRDefault="00937A03" w:rsidP="004828CA">
            <w:pPr>
              <w:pStyle w:val="TableParagraph"/>
              <w:spacing w:before="120" w:after="120"/>
              <w:rPr>
                <w:color w:val="FFFFFF"/>
                <w:sz w:val="16"/>
              </w:rPr>
            </w:pPr>
            <w:r>
              <w:rPr>
                <w:color w:val="FFFFFF"/>
                <w:sz w:val="16"/>
              </w:rPr>
              <w:t>Upfront Commission: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ECEAEA"/>
          </w:tcPr>
          <w:p w14:paraId="5DE132EA" w14:textId="60F73E02" w:rsidR="00937A03" w:rsidRPr="00F2643A" w:rsidRDefault="00937A03" w:rsidP="004828CA">
            <w:pPr>
              <w:pStyle w:val="TableParagraph"/>
              <w:spacing w:before="120" w:after="120"/>
              <w:rPr>
                <w:color w:val="595959" w:themeColor="text1" w:themeTint="A6"/>
                <w:sz w:val="16"/>
              </w:rPr>
            </w:pPr>
            <w:r w:rsidRPr="00F2643A">
              <w:rPr>
                <w:color w:val="595959" w:themeColor="text1" w:themeTint="A6"/>
                <w:sz w:val="16"/>
              </w:rPr>
              <w:t>Paid on the Peak Debt (no clawback).</w:t>
            </w:r>
          </w:p>
        </w:tc>
      </w:tr>
      <w:tr w:rsidR="00937A03" w14:paraId="48D1E236" w14:textId="77777777" w:rsidTr="00C64BE7">
        <w:trPr>
          <w:trHeight w:val="420"/>
        </w:trPr>
        <w:tc>
          <w:tcPr>
            <w:tcW w:w="167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0070C0"/>
          </w:tcPr>
          <w:p w14:paraId="64618575" w14:textId="6FBC2300" w:rsidR="00937A03" w:rsidRDefault="00937A03" w:rsidP="004828CA">
            <w:pPr>
              <w:pStyle w:val="TableParagraph"/>
              <w:spacing w:before="120" w:after="120" w:line="181" w:lineRule="exact"/>
              <w:rPr>
                <w:color w:val="FFFFFF"/>
                <w:sz w:val="16"/>
              </w:rPr>
            </w:pPr>
            <w:r>
              <w:rPr>
                <w:color w:val="FFFFFF"/>
                <w:sz w:val="16"/>
              </w:rPr>
              <w:t>Acceptable</w:t>
            </w:r>
            <w:r w:rsidR="002F3D18">
              <w:rPr>
                <w:color w:val="FFFFFF"/>
                <w:sz w:val="16"/>
              </w:rPr>
              <w:t xml:space="preserve"> </w:t>
            </w:r>
            <w:r w:rsidRPr="002F3D18">
              <w:rPr>
                <w:color w:val="FFFFFF"/>
                <w:sz w:val="16"/>
                <w:szCs w:val="16"/>
              </w:rPr>
              <w:t>Securities:</w:t>
            </w:r>
          </w:p>
        </w:tc>
        <w:tc>
          <w:tcPr>
            <w:tcW w:w="3600" w:type="dxa"/>
            <w:shd w:val="clear" w:color="auto" w:fill="ECEAEA"/>
          </w:tcPr>
          <w:p w14:paraId="0C49D391" w14:textId="6BE54F26" w:rsidR="00937A03" w:rsidRPr="00F2643A" w:rsidRDefault="00937A03" w:rsidP="005434EF">
            <w:pPr>
              <w:pStyle w:val="TableParagraph"/>
              <w:spacing w:before="110" w:line="278" w:lineRule="auto"/>
              <w:ind w:left="110" w:right="68"/>
              <w:rPr>
                <w:color w:val="595959" w:themeColor="text1" w:themeTint="A6"/>
                <w:sz w:val="16"/>
              </w:rPr>
            </w:pPr>
            <w:r w:rsidRPr="00F2643A">
              <w:rPr>
                <w:color w:val="595959" w:themeColor="text1" w:themeTint="A6"/>
                <w:sz w:val="16"/>
              </w:rPr>
              <w:t xml:space="preserve">Residential </w:t>
            </w:r>
            <w:r w:rsidR="001338F6" w:rsidRPr="00F2643A">
              <w:rPr>
                <w:color w:val="595959" w:themeColor="text1" w:themeTint="A6"/>
                <w:sz w:val="16"/>
              </w:rPr>
              <w:t>property (excludes construction).</w:t>
            </w:r>
          </w:p>
        </w:tc>
        <w:tc>
          <w:tcPr>
            <w:tcW w:w="242" w:type="dxa"/>
            <w:vMerge/>
          </w:tcPr>
          <w:p w14:paraId="07461109" w14:textId="77777777" w:rsidR="00937A03" w:rsidRDefault="00937A03" w:rsidP="005434EF">
            <w:pPr>
              <w:rPr>
                <w:sz w:val="2"/>
                <w:szCs w:val="2"/>
              </w:rPr>
            </w:pPr>
          </w:p>
        </w:tc>
        <w:tc>
          <w:tcPr>
            <w:tcW w:w="185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0070C0"/>
          </w:tcPr>
          <w:p w14:paraId="260831F4" w14:textId="31C5F7F9" w:rsidR="00937A03" w:rsidRDefault="00937A03" w:rsidP="005434EF">
            <w:pPr>
              <w:pStyle w:val="TableParagraph"/>
              <w:spacing w:before="158"/>
              <w:rPr>
                <w:color w:val="FFFFFF"/>
                <w:sz w:val="16"/>
              </w:rPr>
            </w:pPr>
            <w:r>
              <w:rPr>
                <w:color w:val="FFFFFF"/>
                <w:sz w:val="16"/>
              </w:rPr>
              <w:t>Commission: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ECEAEA"/>
          </w:tcPr>
          <w:p w14:paraId="23713383" w14:textId="4B7D4E4E" w:rsidR="00937A03" w:rsidRPr="00F2643A" w:rsidRDefault="00C64BE7" w:rsidP="005434EF">
            <w:pPr>
              <w:pStyle w:val="TableParagraph"/>
              <w:spacing w:before="158"/>
              <w:rPr>
                <w:color w:val="595959" w:themeColor="text1" w:themeTint="A6"/>
                <w:sz w:val="16"/>
              </w:rPr>
            </w:pPr>
            <w:r w:rsidRPr="00F2643A">
              <w:rPr>
                <w:color w:val="595959" w:themeColor="text1" w:themeTint="A6"/>
                <w:sz w:val="16"/>
              </w:rPr>
              <w:t>Upfront commission is paid on the Peak Debt Trail commission a</w:t>
            </w:r>
            <w:r w:rsidR="00937A03" w:rsidRPr="00F2643A">
              <w:rPr>
                <w:color w:val="595959" w:themeColor="text1" w:themeTint="A6"/>
                <w:sz w:val="16"/>
              </w:rPr>
              <w:t>ppli</w:t>
            </w:r>
            <w:r w:rsidR="00246FC0" w:rsidRPr="00F2643A">
              <w:rPr>
                <w:color w:val="595959" w:themeColor="text1" w:themeTint="A6"/>
                <w:sz w:val="16"/>
              </w:rPr>
              <w:t>es</w:t>
            </w:r>
            <w:r w:rsidRPr="00F2643A">
              <w:rPr>
                <w:color w:val="595959" w:themeColor="text1" w:themeTint="A6"/>
                <w:sz w:val="16"/>
              </w:rPr>
              <w:t>. No Clawback.</w:t>
            </w:r>
          </w:p>
        </w:tc>
      </w:tr>
      <w:tr w:rsidR="00937A03" w14:paraId="02584D3E" w14:textId="77777777" w:rsidTr="00C64BE7">
        <w:trPr>
          <w:trHeight w:val="420"/>
        </w:trPr>
        <w:tc>
          <w:tcPr>
            <w:tcW w:w="167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0070C0"/>
          </w:tcPr>
          <w:p w14:paraId="36DFFF3E" w14:textId="1FCB29A3" w:rsidR="00937A03" w:rsidRDefault="00A35E80" w:rsidP="004828CA">
            <w:pPr>
              <w:pStyle w:val="TableParagraph"/>
              <w:spacing w:before="120"/>
              <w:rPr>
                <w:color w:val="FFFFFF"/>
                <w:sz w:val="16"/>
              </w:rPr>
            </w:pPr>
            <w:r>
              <w:rPr>
                <w:color w:val="FFFFFF"/>
                <w:sz w:val="16"/>
              </w:rPr>
              <w:t>Bridging Rate:</w:t>
            </w:r>
          </w:p>
        </w:tc>
        <w:tc>
          <w:tcPr>
            <w:tcW w:w="3600" w:type="dxa"/>
            <w:shd w:val="clear" w:color="auto" w:fill="ECEAEA"/>
          </w:tcPr>
          <w:p w14:paraId="72A8808E" w14:textId="6A5EEAC8" w:rsidR="00937A03" w:rsidRPr="00F2643A" w:rsidRDefault="00A35E80" w:rsidP="00937A03">
            <w:pPr>
              <w:pStyle w:val="TableParagraph"/>
              <w:rPr>
                <w:color w:val="595959" w:themeColor="text1" w:themeTint="A6"/>
                <w:sz w:val="16"/>
              </w:rPr>
            </w:pPr>
            <w:r w:rsidRPr="00F2643A">
              <w:rPr>
                <w:color w:val="595959" w:themeColor="text1" w:themeTint="A6"/>
                <w:sz w:val="16"/>
              </w:rPr>
              <w:t>The higher rate applies during the Bridging period, and changes to the Revert Rate after sale of the existing property.</w:t>
            </w:r>
          </w:p>
        </w:tc>
        <w:tc>
          <w:tcPr>
            <w:tcW w:w="242" w:type="dxa"/>
            <w:vMerge/>
            <w:tcBorders>
              <w:bottom w:val="nil"/>
            </w:tcBorders>
          </w:tcPr>
          <w:p w14:paraId="4558CBD6" w14:textId="77777777" w:rsidR="00937A03" w:rsidRDefault="00937A03" w:rsidP="005434EF">
            <w:pPr>
              <w:rPr>
                <w:sz w:val="2"/>
                <w:szCs w:val="2"/>
              </w:rPr>
            </w:pPr>
          </w:p>
        </w:tc>
        <w:tc>
          <w:tcPr>
            <w:tcW w:w="185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0070C0"/>
          </w:tcPr>
          <w:p w14:paraId="7A909B25" w14:textId="1B6684E5" w:rsidR="00937A03" w:rsidRDefault="00937A03" w:rsidP="005434EF">
            <w:pPr>
              <w:pStyle w:val="TableParagraph"/>
              <w:spacing w:before="158"/>
              <w:rPr>
                <w:color w:val="FFFFFF"/>
                <w:sz w:val="16"/>
              </w:rPr>
            </w:pPr>
            <w:r>
              <w:rPr>
                <w:color w:val="FFFFFF"/>
                <w:sz w:val="16"/>
              </w:rPr>
              <w:t>Discharge Fees: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ECEAEA"/>
          </w:tcPr>
          <w:tbl>
            <w:tblPr>
              <w:tblW w:w="1052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521"/>
            </w:tblGrid>
            <w:tr w:rsidR="00F2643A" w:rsidRPr="00F2643A" w14:paraId="4D550078" w14:textId="77777777" w:rsidTr="00910081">
              <w:trPr>
                <w:trHeight w:val="229"/>
              </w:trPr>
              <w:tc>
                <w:tcPr>
                  <w:tcW w:w="10521" w:type="dxa"/>
                </w:tcPr>
                <w:p w14:paraId="7F4320FA" w14:textId="44058BB6" w:rsidR="00937A03" w:rsidRPr="00F2643A" w:rsidRDefault="002F3D18" w:rsidP="00246FC0">
                  <w:pPr>
                    <w:pStyle w:val="Default"/>
                    <w:spacing w:before="120"/>
                    <w:rPr>
                      <w:color w:val="595959" w:themeColor="text1" w:themeTint="A6"/>
                      <w:sz w:val="16"/>
                      <w:szCs w:val="16"/>
                    </w:rPr>
                  </w:pPr>
                  <w:r w:rsidRPr="00F2643A">
                    <w:rPr>
                      <w:color w:val="595959" w:themeColor="text1" w:themeTint="A6"/>
                      <w:sz w:val="16"/>
                    </w:rPr>
                    <w:t>$450 plus funder’s legal costs</w:t>
                  </w:r>
                  <w:r w:rsidR="00246FC0" w:rsidRPr="00F2643A">
                    <w:rPr>
                      <w:color w:val="595959" w:themeColor="text1" w:themeTint="A6"/>
                      <w:sz w:val="16"/>
                    </w:rPr>
                    <w:t xml:space="preserve"> per discharge.</w:t>
                  </w:r>
                </w:p>
              </w:tc>
            </w:tr>
          </w:tbl>
          <w:p w14:paraId="50FFD9EE" w14:textId="77777777" w:rsidR="00937A03" w:rsidRPr="00F2643A" w:rsidRDefault="00937A03" w:rsidP="005434EF">
            <w:pPr>
              <w:pStyle w:val="TableParagraph"/>
              <w:spacing w:before="158"/>
              <w:rPr>
                <w:color w:val="595959" w:themeColor="text1" w:themeTint="A6"/>
                <w:sz w:val="16"/>
                <w:szCs w:val="16"/>
              </w:rPr>
            </w:pPr>
          </w:p>
        </w:tc>
      </w:tr>
      <w:tr w:rsidR="00A35E80" w14:paraId="0A514A41" w14:textId="77777777" w:rsidTr="00C64BE7">
        <w:trPr>
          <w:trHeight w:val="420"/>
        </w:trPr>
        <w:tc>
          <w:tcPr>
            <w:tcW w:w="167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0070C0"/>
          </w:tcPr>
          <w:p w14:paraId="542D7B4E" w14:textId="35285D70" w:rsidR="00A35E80" w:rsidRDefault="00A35E80" w:rsidP="000972DE">
            <w:pPr>
              <w:pStyle w:val="TableParagraph"/>
              <w:spacing w:before="120" w:after="100"/>
              <w:rPr>
                <w:color w:val="FFFFFF"/>
                <w:sz w:val="16"/>
              </w:rPr>
            </w:pPr>
            <w:r>
              <w:rPr>
                <w:color w:val="FFFFFF"/>
                <w:sz w:val="16"/>
              </w:rPr>
              <w:t>Revert Rate:</w:t>
            </w:r>
          </w:p>
        </w:tc>
        <w:tc>
          <w:tcPr>
            <w:tcW w:w="9098" w:type="dxa"/>
            <w:gridSpan w:val="4"/>
            <w:shd w:val="clear" w:color="auto" w:fill="ECEAEA"/>
          </w:tcPr>
          <w:p w14:paraId="6FE048AF" w14:textId="297A20D9" w:rsidR="00A35E80" w:rsidRPr="00F2643A" w:rsidRDefault="00151BD5" w:rsidP="000972DE">
            <w:pPr>
              <w:pStyle w:val="TableParagraph"/>
              <w:spacing w:before="120" w:after="100"/>
              <w:rPr>
                <w:color w:val="595959" w:themeColor="text1" w:themeTint="A6"/>
                <w:sz w:val="16"/>
              </w:rPr>
            </w:pPr>
            <w:r w:rsidRPr="00F2643A">
              <w:rPr>
                <w:color w:val="595959" w:themeColor="text1" w:themeTint="A6"/>
                <w:sz w:val="16"/>
              </w:rPr>
              <w:t>The revert rate is the rate applicable to the specific product chosen (Full Doc or AltDoc) at the specific LVR band that applies post settlement</w:t>
            </w:r>
            <w:r w:rsidR="00C64BE7" w:rsidRPr="00F2643A">
              <w:rPr>
                <w:color w:val="595959" w:themeColor="text1" w:themeTint="A6"/>
                <w:sz w:val="16"/>
              </w:rPr>
              <w:t>, with the rate applicable at that time.</w:t>
            </w:r>
          </w:p>
        </w:tc>
      </w:tr>
      <w:tr w:rsidR="002E127C" w14:paraId="6C22925C" w14:textId="77777777" w:rsidTr="00C64BE7">
        <w:trPr>
          <w:trHeight w:val="420"/>
        </w:trPr>
        <w:tc>
          <w:tcPr>
            <w:tcW w:w="167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0070C0"/>
          </w:tcPr>
          <w:p w14:paraId="05E955A8" w14:textId="7C65251F" w:rsidR="002E127C" w:rsidRDefault="002E127C" w:rsidP="002F6E7D">
            <w:pPr>
              <w:pStyle w:val="TableParagraph"/>
              <w:spacing w:before="120" w:after="120"/>
              <w:rPr>
                <w:color w:val="FFFFFF"/>
                <w:sz w:val="16"/>
              </w:rPr>
            </w:pPr>
            <w:r>
              <w:rPr>
                <w:color w:val="FFFFFF"/>
                <w:sz w:val="16"/>
              </w:rPr>
              <w:t>Servicing:</w:t>
            </w:r>
          </w:p>
        </w:tc>
        <w:tc>
          <w:tcPr>
            <w:tcW w:w="9098" w:type="dxa"/>
            <w:gridSpan w:val="4"/>
            <w:shd w:val="clear" w:color="auto" w:fill="ECEAEA"/>
          </w:tcPr>
          <w:p w14:paraId="6387CF24" w14:textId="5EE27C43" w:rsidR="002E127C" w:rsidRPr="00F2643A" w:rsidRDefault="002E127C" w:rsidP="002E127C">
            <w:pPr>
              <w:pStyle w:val="TableParagraph"/>
              <w:spacing w:before="120" w:after="120"/>
              <w:rPr>
                <w:color w:val="595959" w:themeColor="text1" w:themeTint="A6"/>
                <w:sz w:val="16"/>
              </w:rPr>
            </w:pPr>
            <w:r w:rsidRPr="00F2643A">
              <w:rPr>
                <w:color w:val="595959" w:themeColor="text1" w:themeTint="A6"/>
                <w:sz w:val="16"/>
              </w:rPr>
              <w:t>An interest budget is included in the approved loan amount that will cover repayments for the selected term of the Relocation / Bridging loan. The loan will revert to P&amp;I over 29 years (or as advised) when the current property is sold.</w:t>
            </w:r>
            <w:r w:rsidR="00151BD5" w:rsidRPr="00F2643A">
              <w:rPr>
                <w:color w:val="595959" w:themeColor="text1" w:themeTint="A6"/>
                <w:sz w:val="16"/>
              </w:rPr>
              <w:t xml:space="preserve"> No further assessment is required provided 100% of Net Sale proceeds are applied to the </w:t>
            </w:r>
            <w:r w:rsidR="00C64BE7" w:rsidRPr="00F2643A">
              <w:rPr>
                <w:color w:val="595959" w:themeColor="text1" w:themeTint="A6"/>
                <w:sz w:val="16"/>
              </w:rPr>
              <w:t>loan at settlement.</w:t>
            </w:r>
          </w:p>
        </w:tc>
      </w:tr>
      <w:tr w:rsidR="004828CA" w14:paraId="218A7EB7" w14:textId="77777777" w:rsidTr="00C64BE7">
        <w:trPr>
          <w:trHeight w:val="420"/>
        </w:trPr>
        <w:tc>
          <w:tcPr>
            <w:tcW w:w="167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0070C0"/>
          </w:tcPr>
          <w:p w14:paraId="57F2B3DF" w14:textId="4AD3A920" w:rsidR="004828CA" w:rsidRPr="00CA0808" w:rsidRDefault="004828CA" w:rsidP="002F6E7D">
            <w:pPr>
              <w:pStyle w:val="TableParagraph"/>
              <w:spacing w:before="120" w:after="120"/>
              <w:rPr>
                <w:color w:val="FFFFFF" w:themeColor="background1"/>
                <w:sz w:val="16"/>
              </w:rPr>
            </w:pPr>
            <w:r>
              <w:rPr>
                <w:color w:val="FFFFFF"/>
                <w:sz w:val="16"/>
              </w:rPr>
              <w:t>Repayment type:</w:t>
            </w:r>
          </w:p>
        </w:tc>
        <w:tc>
          <w:tcPr>
            <w:tcW w:w="9098" w:type="dxa"/>
            <w:gridSpan w:val="4"/>
            <w:shd w:val="clear" w:color="auto" w:fill="ECEAEA"/>
          </w:tcPr>
          <w:p w14:paraId="265F6F8F" w14:textId="04DC651B" w:rsidR="004828CA" w:rsidRPr="00F2643A" w:rsidRDefault="004828CA" w:rsidP="004828CA">
            <w:pPr>
              <w:pStyle w:val="TableParagraph"/>
              <w:rPr>
                <w:color w:val="595959" w:themeColor="text1" w:themeTint="A6"/>
                <w:sz w:val="16"/>
              </w:rPr>
            </w:pPr>
            <w:r w:rsidRPr="00F2643A">
              <w:rPr>
                <w:color w:val="595959" w:themeColor="text1" w:themeTint="A6"/>
                <w:sz w:val="16"/>
              </w:rPr>
              <w:t>Interest Only for the specified term (6 mths</w:t>
            </w:r>
            <w:r w:rsidR="003A21B0">
              <w:rPr>
                <w:color w:val="595959" w:themeColor="text1" w:themeTint="A6"/>
                <w:sz w:val="16"/>
              </w:rPr>
              <w:t xml:space="preserve"> or</w:t>
            </w:r>
            <w:r w:rsidRPr="00F2643A">
              <w:rPr>
                <w:color w:val="595959" w:themeColor="text1" w:themeTint="A6"/>
                <w:sz w:val="16"/>
              </w:rPr>
              <w:t xml:space="preserve"> 12 mths) paid in advance (as a funded interest budget).   A term &lt;6 mths may be considered if a signed contract exists for the existing property.                                                  </w:t>
            </w:r>
          </w:p>
          <w:p w14:paraId="14EB4A35" w14:textId="3FD5C51B" w:rsidR="004828CA" w:rsidRPr="00F2643A" w:rsidRDefault="004828CA" w:rsidP="004828CA">
            <w:pPr>
              <w:pStyle w:val="TableParagraph"/>
              <w:spacing w:before="120" w:after="120"/>
              <w:rPr>
                <w:color w:val="595959" w:themeColor="text1" w:themeTint="A6"/>
                <w:sz w:val="16"/>
              </w:rPr>
            </w:pPr>
            <w:r w:rsidRPr="00F2643A">
              <w:rPr>
                <w:color w:val="595959" w:themeColor="text1" w:themeTint="A6"/>
                <w:sz w:val="16"/>
              </w:rPr>
              <w:t>Nil repayments</w:t>
            </w:r>
            <w:r w:rsidR="005103E4" w:rsidRPr="00F2643A">
              <w:rPr>
                <w:color w:val="595959" w:themeColor="text1" w:themeTint="A6"/>
                <w:sz w:val="16"/>
              </w:rPr>
              <w:t xml:space="preserve"> required</w:t>
            </w:r>
            <w:r w:rsidRPr="00F2643A">
              <w:rPr>
                <w:color w:val="595959" w:themeColor="text1" w:themeTint="A6"/>
                <w:sz w:val="16"/>
              </w:rPr>
              <w:t xml:space="preserve"> during the Relocation period. Unearned interest is refunded to the client.</w:t>
            </w:r>
          </w:p>
        </w:tc>
      </w:tr>
      <w:tr w:rsidR="002F6E7D" w14:paraId="7C7AA625" w14:textId="77777777" w:rsidTr="00C64BE7">
        <w:trPr>
          <w:trHeight w:val="420"/>
        </w:trPr>
        <w:tc>
          <w:tcPr>
            <w:tcW w:w="167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0070C0"/>
          </w:tcPr>
          <w:p w14:paraId="1097E578" w14:textId="0D146250" w:rsidR="002F6E7D" w:rsidRDefault="007210C7" w:rsidP="002F6E7D">
            <w:pPr>
              <w:pStyle w:val="TableParagraph"/>
              <w:spacing w:before="120" w:after="120"/>
              <w:rPr>
                <w:color w:val="FFFFFF"/>
                <w:sz w:val="16"/>
              </w:rPr>
            </w:pPr>
            <w:r>
              <w:rPr>
                <w:color w:val="FFFFFF" w:themeColor="background1"/>
                <w:sz w:val="16"/>
              </w:rPr>
              <w:t>Bridging</w:t>
            </w:r>
            <w:r w:rsidR="002F6E7D" w:rsidRPr="00CA0808">
              <w:rPr>
                <w:color w:val="FFFFFF" w:themeColor="background1"/>
                <w:sz w:val="16"/>
              </w:rPr>
              <w:t xml:space="preserve"> Loan </w:t>
            </w:r>
            <w:proofErr w:type="gramStart"/>
            <w:r w:rsidR="002F6E7D" w:rsidRPr="00CA0808">
              <w:rPr>
                <w:color w:val="FFFFFF" w:themeColor="background1"/>
                <w:sz w:val="16"/>
              </w:rPr>
              <w:t>with</w:t>
            </w:r>
            <w:r w:rsidR="002F6E7D">
              <w:rPr>
                <w:color w:val="FFFFFF" w:themeColor="background1"/>
                <w:sz w:val="16"/>
              </w:rPr>
              <w:t xml:space="preserve"> </w:t>
            </w:r>
            <w:r>
              <w:rPr>
                <w:color w:val="FFFFFF" w:themeColor="background1"/>
                <w:sz w:val="16"/>
              </w:rPr>
              <w:t xml:space="preserve"> </w:t>
            </w:r>
            <w:r w:rsidR="002F6E7D">
              <w:rPr>
                <w:color w:val="FFFFFF" w:themeColor="background1"/>
                <w:sz w:val="16"/>
              </w:rPr>
              <w:t>Nil</w:t>
            </w:r>
            <w:proofErr w:type="gramEnd"/>
            <w:r w:rsidR="002F6E7D">
              <w:rPr>
                <w:color w:val="FFFFFF" w:themeColor="background1"/>
                <w:sz w:val="16"/>
              </w:rPr>
              <w:t xml:space="preserve"> End </w:t>
            </w:r>
            <w:r w:rsidR="002F6E7D" w:rsidRPr="00CA0808">
              <w:rPr>
                <w:color w:val="FFFFFF" w:themeColor="background1"/>
                <w:sz w:val="16"/>
              </w:rPr>
              <w:t>Debt</w:t>
            </w:r>
            <w:r w:rsidR="00DE3F35">
              <w:rPr>
                <w:color w:val="FFFFFF" w:themeColor="background1"/>
                <w:sz w:val="16"/>
              </w:rPr>
              <w:t xml:space="preserve"> (NED)</w:t>
            </w:r>
            <w:r w:rsidR="002F6E7D" w:rsidRPr="00CA0808">
              <w:rPr>
                <w:color w:val="FFFFFF" w:themeColor="background1"/>
                <w:sz w:val="16"/>
              </w:rPr>
              <w:t>:</w:t>
            </w:r>
          </w:p>
        </w:tc>
        <w:tc>
          <w:tcPr>
            <w:tcW w:w="9098" w:type="dxa"/>
            <w:gridSpan w:val="4"/>
            <w:shd w:val="clear" w:color="auto" w:fill="ECEAEA"/>
          </w:tcPr>
          <w:p w14:paraId="603215C9" w14:textId="1B338217" w:rsidR="002F6E7D" w:rsidRPr="00F2643A" w:rsidRDefault="002F6E7D" w:rsidP="005434EF">
            <w:pPr>
              <w:pStyle w:val="TableParagraph"/>
              <w:spacing w:before="158"/>
              <w:rPr>
                <w:color w:val="595959" w:themeColor="text1" w:themeTint="A6"/>
                <w:sz w:val="16"/>
              </w:rPr>
            </w:pPr>
            <w:r w:rsidRPr="00F2643A">
              <w:rPr>
                <w:color w:val="595959" w:themeColor="text1" w:themeTint="A6"/>
                <w:sz w:val="16"/>
              </w:rPr>
              <w:t xml:space="preserve">Please refer to </w:t>
            </w:r>
            <w:r w:rsidR="002878CF">
              <w:rPr>
                <w:color w:val="595959" w:themeColor="text1" w:themeTint="A6"/>
                <w:sz w:val="16"/>
              </w:rPr>
              <w:t xml:space="preserve">the Fact Sheet titled “Ocean Bridging Loan NED (Nil End Debt) Fact Sheet” </w:t>
            </w:r>
            <w:r w:rsidRPr="00F2643A">
              <w:rPr>
                <w:color w:val="595959" w:themeColor="text1" w:themeTint="A6"/>
                <w:sz w:val="16"/>
              </w:rPr>
              <w:t xml:space="preserve">if a </w:t>
            </w:r>
            <w:r w:rsidR="007210C7">
              <w:rPr>
                <w:color w:val="595959" w:themeColor="text1" w:themeTint="A6"/>
                <w:sz w:val="16"/>
              </w:rPr>
              <w:t>Bridging</w:t>
            </w:r>
            <w:r w:rsidRPr="00F2643A">
              <w:rPr>
                <w:color w:val="595959" w:themeColor="text1" w:themeTint="A6"/>
                <w:sz w:val="16"/>
              </w:rPr>
              <w:t xml:space="preserve"> Loan with Zero End Debt is required, as different rules apply.</w:t>
            </w:r>
          </w:p>
        </w:tc>
      </w:tr>
      <w:tr w:rsidR="00052CFE" w14:paraId="48B91A67" w14:textId="77777777" w:rsidTr="00C64BE7">
        <w:trPr>
          <w:trHeight w:val="1050"/>
        </w:trPr>
        <w:tc>
          <w:tcPr>
            <w:tcW w:w="1675" w:type="dxa"/>
            <w:tcBorders>
              <w:top w:val="single" w:sz="4" w:space="0" w:color="A6A6A6" w:themeColor="background1" w:themeShade="A6"/>
            </w:tcBorders>
            <w:shd w:val="clear" w:color="auto" w:fill="0070C0"/>
          </w:tcPr>
          <w:p w14:paraId="0520BD60" w14:textId="1A74B496" w:rsidR="00052CFE" w:rsidRPr="00CA0808" w:rsidRDefault="00052CFE" w:rsidP="00052CFE">
            <w:pPr>
              <w:pStyle w:val="TableParagraph"/>
              <w:spacing w:before="120"/>
              <w:rPr>
                <w:color w:val="FFFFFF" w:themeColor="background1"/>
                <w:sz w:val="16"/>
              </w:rPr>
            </w:pPr>
            <w:r w:rsidRPr="00A73992">
              <w:rPr>
                <w:color w:val="FFFFFF" w:themeColor="background1"/>
                <w:sz w:val="16"/>
              </w:rPr>
              <w:t>Points of Difference:</w:t>
            </w:r>
          </w:p>
        </w:tc>
        <w:tc>
          <w:tcPr>
            <w:tcW w:w="9098" w:type="dxa"/>
            <w:gridSpan w:val="4"/>
            <w:shd w:val="clear" w:color="auto" w:fill="ECEAEA"/>
          </w:tcPr>
          <w:p w14:paraId="6487CC65" w14:textId="429915EA" w:rsidR="00151BD5" w:rsidRPr="00F2643A" w:rsidRDefault="008436A5" w:rsidP="007169FF">
            <w:pPr>
              <w:pStyle w:val="TableParagraph"/>
              <w:spacing w:after="240"/>
              <w:rPr>
                <w:color w:val="595959" w:themeColor="text1" w:themeTint="A6"/>
                <w:sz w:val="16"/>
              </w:rPr>
            </w:pPr>
            <w:r w:rsidRPr="00F2643A">
              <w:rPr>
                <w:color w:val="595959" w:themeColor="text1" w:themeTint="A6"/>
                <w:sz w:val="16"/>
              </w:rPr>
              <w:t>This is a bespoke bridging facility where the client can choose the bridging term (6m</w:t>
            </w:r>
            <w:r w:rsidR="00D4415E">
              <w:rPr>
                <w:color w:val="595959" w:themeColor="text1" w:themeTint="A6"/>
                <w:sz w:val="16"/>
              </w:rPr>
              <w:t xml:space="preserve"> or</w:t>
            </w:r>
            <w:r w:rsidRPr="00F2643A">
              <w:rPr>
                <w:color w:val="595959" w:themeColor="text1" w:themeTint="A6"/>
                <w:sz w:val="16"/>
              </w:rPr>
              <w:t xml:space="preserve"> 12m</w:t>
            </w:r>
            <w:r w:rsidR="00D4415E">
              <w:rPr>
                <w:color w:val="595959" w:themeColor="text1" w:themeTint="A6"/>
                <w:sz w:val="16"/>
              </w:rPr>
              <w:t>)</w:t>
            </w:r>
            <w:r w:rsidRPr="00F2643A">
              <w:rPr>
                <w:color w:val="595959" w:themeColor="text1" w:themeTint="A6"/>
                <w:sz w:val="16"/>
              </w:rPr>
              <w:t xml:space="preserve"> according to their circumstances.</w:t>
            </w:r>
            <w:r w:rsidR="00151BD5" w:rsidRPr="00F2643A">
              <w:rPr>
                <w:color w:val="595959" w:themeColor="text1" w:themeTint="A6"/>
                <w:sz w:val="16"/>
              </w:rPr>
              <w:t xml:space="preserve">  </w:t>
            </w:r>
            <w:proofErr w:type="gramStart"/>
            <w:r w:rsidR="00086B6C" w:rsidRPr="00F2643A">
              <w:rPr>
                <w:color w:val="595959" w:themeColor="text1" w:themeTint="A6"/>
                <w:sz w:val="16"/>
              </w:rPr>
              <w:t>Can</w:t>
            </w:r>
            <w:proofErr w:type="gramEnd"/>
            <w:r w:rsidR="00086B6C" w:rsidRPr="00F2643A">
              <w:rPr>
                <w:color w:val="595959" w:themeColor="text1" w:themeTint="A6"/>
                <w:sz w:val="16"/>
              </w:rPr>
              <w:t xml:space="preserve"> be used to bu</w:t>
            </w:r>
            <w:r w:rsidR="002F3D18" w:rsidRPr="00F2643A">
              <w:rPr>
                <w:color w:val="595959" w:themeColor="text1" w:themeTint="A6"/>
                <w:sz w:val="16"/>
              </w:rPr>
              <w:t>y</w:t>
            </w:r>
            <w:r w:rsidR="00086B6C" w:rsidRPr="00F2643A">
              <w:rPr>
                <w:color w:val="595959" w:themeColor="text1" w:themeTint="A6"/>
                <w:sz w:val="16"/>
              </w:rPr>
              <w:t xml:space="preserve"> a property and avoid </w:t>
            </w:r>
            <w:r w:rsidR="002F3D18" w:rsidRPr="00F2643A">
              <w:rPr>
                <w:color w:val="595959" w:themeColor="text1" w:themeTint="A6"/>
                <w:sz w:val="16"/>
              </w:rPr>
              <w:t>the stress and time pressures of contract deadlines. Allows time to freshen up the existing property with unrestricted access for tradesmen, real estate agents and potential buyers.</w:t>
            </w:r>
            <w:r w:rsidR="00C64BE7" w:rsidRPr="00F2643A">
              <w:rPr>
                <w:color w:val="595959" w:themeColor="text1" w:themeTint="A6"/>
                <w:sz w:val="16"/>
              </w:rPr>
              <w:t xml:space="preserve"> </w:t>
            </w:r>
            <w:r w:rsidR="00D4415E">
              <w:rPr>
                <w:color w:val="595959" w:themeColor="text1" w:themeTint="A6"/>
                <w:sz w:val="16"/>
              </w:rPr>
              <w:t xml:space="preserve">                                  </w:t>
            </w:r>
            <w:r w:rsidR="009A0DDB" w:rsidRPr="00F2643A">
              <w:rPr>
                <w:color w:val="595959" w:themeColor="text1" w:themeTint="A6"/>
                <w:sz w:val="16"/>
              </w:rPr>
              <w:t xml:space="preserve">                   </w:t>
            </w:r>
            <w:r w:rsidR="00C64BE7" w:rsidRPr="00F2643A">
              <w:rPr>
                <w:color w:val="595959" w:themeColor="text1" w:themeTint="A6"/>
                <w:sz w:val="16"/>
              </w:rPr>
              <w:t>No further assessment is required provided 100% of Net Sale proceeds are applied to the loan at settlement.</w:t>
            </w:r>
            <w:r w:rsidR="009A0DDB" w:rsidRPr="00F2643A">
              <w:rPr>
                <w:color w:val="595959" w:themeColor="text1" w:themeTint="A6"/>
                <w:sz w:val="16"/>
              </w:rPr>
              <w:t xml:space="preserve">                           Pre-Approvals are available up to a maximum of 90 days.</w:t>
            </w:r>
          </w:p>
        </w:tc>
      </w:tr>
    </w:tbl>
    <w:p w14:paraId="7F6D0253" w14:textId="77777777" w:rsidR="0079454D" w:rsidRPr="00D64010" w:rsidRDefault="0079454D" w:rsidP="007E6F09">
      <w:pPr>
        <w:pStyle w:val="BodyText"/>
      </w:pPr>
    </w:p>
    <w:sectPr w:rsidR="0079454D" w:rsidRPr="00D64010" w:rsidSect="00960DE2">
      <w:footerReference w:type="default" r:id="rId12"/>
      <w:type w:val="continuous"/>
      <w:pgSz w:w="11910" w:h="16840"/>
      <w:pgMar w:top="300" w:right="560" w:bottom="280" w:left="560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B4594" w14:textId="77777777" w:rsidR="004E172D" w:rsidRDefault="004E172D" w:rsidP="00960DE2">
      <w:r>
        <w:separator/>
      </w:r>
    </w:p>
  </w:endnote>
  <w:endnote w:type="continuationSeparator" w:id="0">
    <w:p w14:paraId="01934386" w14:textId="77777777" w:rsidR="004E172D" w:rsidRDefault="004E172D" w:rsidP="00960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4E124" w14:textId="77777777" w:rsidR="00170C4D" w:rsidRPr="00170C4D" w:rsidRDefault="00960DE2" w:rsidP="00960DE2">
    <w:pPr>
      <w:pStyle w:val="BodyText"/>
      <w:shd w:val="clear" w:color="auto" w:fill="002060"/>
      <w:rPr>
        <w:bCs/>
        <w:color w:val="FFFFFF" w:themeColor="background1"/>
        <w:sz w:val="12"/>
        <w:szCs w:val="12"/>
      </w:rPr>
    </w:pPr>
    <w:r>
      <w:rPr>
        <w:bCs/>
        <w:color w:val="FFFFFF" w:themeColor="background1"/>
        <w:sz w:val="24"/>
        <w:szCs w:val="24"/>
      </w:rPr>
      <w:t xml:space="preserve">     </w:t>
    </w:r>
    <w:r w:rsidR="00A22BB5">
      <w:rPr>
        <w:bCs/>
        <w:color w:val="FFFFFF" w:themeColor="background1"/>
        <w:sz w:val="24"/>
        <w:szCs w:val="24"/>
      </w:rPr>
      <w:t xml:space="preserve"> </w:t>
    </w:r>
  </w:p>
  <w:p w14:paraId="527922C2" w14:textId="6A21A563" w:rsidR="00960DE2" w:rsidRPr="00F35EFC" w:rsidRDefault="00170C4D" w:rsidP="00960DE2">
    <w:pPr>
      <w:pStyle w:val="BodyText"/>
      <w:shd w:val="clear" w:color="auto" w:fill="002060"/>
      <w:rPr>
        <w:color w:val="FFFFFF" w:themeColor="background1"/>
        <w:sz w:val="20"/>
        <w:szCs w:val="20"/>
      </w:rPr>
    </w:pPr>
    <w:r>
      <w:rPr>
        <w:bCs/>
        <w:color w:val="FFFFFF" w:themeColor="background1"/>
        <w:sz w:val="24"/>
        <w:szCs w:val="24"/>
      </w:rPr>
      <w:t xml:space="preserve">      </w:t>
    </w:r>
    <w:r w:rsidR="00960DE2">
      <w:rPr>
        <w:bCs/>
        <w:color w:val="FFFFFF" w:themeColor="background1"/>
        <w:sz w:val="24"/>
        <w:szCs w:val="24"/>
      </w:rPr>
      <w:t xml:space="preserve"> </w:t>
    </w:r>
    <w:r w:rsidR="00960DE2" w:rsidRPr="005F1415">
      <w:rPr>
        <w:bCs/>
        <w:color w:val="FFFFFF" w:themeColor="background1"/>
        <w:sz w:val="24"/>
        <w:szCs w:val="24"/>
      </w:rPr>
      <w:t xml:space="preserve">Allstate Home Loans Pty Ltd                                         </w:t>
    </w:r>
    <w:r w:rsidR="00960DE2" w:rsidRPr="005F1415">
      <w:rPr>
        <w:bCs/>
        <w:color w:val="FFFFFF" w:themeColor="background1"/>
        <w:sz w:val="20"/>
        <w:szCs w:val="20"/>
      </w:rPr>
      <w:t xml:space="preserve">                                 </w:t>
    </w:r>
    <w:r>
      <w:rPr>
        <w:bCs/>
        <w:color w:val="FFFFFF" w:themeColor="background1"/>
        <w:sz w:val="20"/>
        <w:szCs w:val="20"/>
      </w:rPr>
      <w:t xml:space="preserve">   </w:t>
    </w:r>
    <w:r w:rsidR="00960DE2" w:rsidRPr="00F35EFC">
      <w:rPr>
        <w:color w:val="FFFFFF" w:themeColor="background1"/>
        <w:sz w:val="20"/>
        <w:szCs w:val="20"/>
      </w:rPr>
      <w:t xml:space="preserve">Phone </w:t>
    </w:r>
    <w:r w:rsidR="00960DE2" w:rsidRPr="005F1415">
      <w:rPr>
        <w:color w:val="FFFFFF" w:themeColor="background1"/>
        <w:sz w:val="24"/>
        <w:szCs w:val="24"/>
      </w:rPr>
      <w:t>1800 101 368</w:t>
    </w:r>
  </w:p>
  <w:p w14:paraId="3F1008EB" w14:textId="77675D02" w:rsidR="00960DE2" w:rsidRPr="00F35EFC" w:rsidRDefault="00960DE2" w:rsidP="00960DE2">
    <w:pPr>
      <w:pStyle w:val="BodyText"/>
      <w:shd w:val="clear" w:color="auto" w:fill="002060"/>
      <w:rPr>
        <w:color w:val="FFFFFF" w:themeColor="background1"/>
        <w:sz w:val="20"/>
        <w:szCs w:val="20"/>
      </w:rPr>
    </w:pPr>
    <w:r>
      <w:rPr>
        <w:color w:val="FFFFFF" w:themeColor="background1"/>
        <w:sz w:val="20"/>
        <w:szCs w:val="20"/>
      </w:rPr>
      <w:t xml:space="preserve">        </w:t>
    </w:r>
    <w:r w:rsidRPr="00F35EFC">
      <w:rPr>
        <w:color w:val="FFFFFF" w:themeColor="background1"/>
        <w:sz w:val="20"/>
        <w:szCs w:val="20"/>
      </w:rPr>
      <w:t xml:space="preserve">Email:   </w:t>
    </w:r>
    <w:proofErr w:type="gramStart"/>
    <w:r>
      <w:rPr>
        <w:color w:val="FFFFFF" w:themeColor="background1"/>
        <w:sz w:val="20"/>
        <w:szCs w:val="20"/>
      </w:rPr>
      <w:t>hell</w:t>
    </w:r>
    <w:r w:rsidRPr="00F35EFC">
      <w:rPr>
        <w:color w:val="FFFFFF" w:themeColor="background1"/>
        <w:sz w:val="20"/>
        <w:szCs w:val="20"/>
      </w:rPr>
      <w:t>o@allstateloans.au  |</w:t>
    </w:r>
    <w:proofErr w:type="gramEnd"/>
    <w:r w:rsidRPr="00F35EFC">
      <w:rPr>
        <w:color w:val="FFFFFF" w:themeColor="background1"/>
        <w:sz w:val="20"/>
        <w:szCs w:val="20"/>
      </w:rPr>
      <w:t xml:space="preserve"> Website: www.allstatehomeloans.com.au</w:t>
    </w:r>
  </w:p>
  <w:p w14:paraId="6E89CA0E" w14:textId="2326CDB3" w:rsidR="00960DE2" w:rsidRDefault="00960DE2" w:rsidP="00960DE2">
    <w:pPr>
      <w:pStyle w:val="BodyText"/>
      <w:shd w:val="clear" w:color="auto" w:fill="002060"/>
      <w:rPr>
        <w:color w:val="FFFFFF" w:themeColor="background1"/>
        <w:sz w:val="20"/>
        <w:szCs w:val="20"/>
      </w:rPr>
    </w:pPr>
    <w:r>
      <w:rPr>
        <w:color w:val="FFFFFF" w:themeColor="background1"/>
        <w:sz w:val="20"/>
        <w:szCs w:val="20"/>
      </w:rPr>
      <w:t xml:space="preserve">        </w:t>
    </w:r>
    <w:r w:rsidRPr="00F35EFC">
      <w:rPr>
        <w:color w:val="FFFFFF" w:themeColor="background1"/>
        <w:sz w:val="20"/>
        <w:szCs w:val="20"/>
      </w:rPr>
      <w:t xml:space="preserve">Postal: PO Box </w:t>
    </w:r>
    <w:r w:rsidR="00A22BB5">
      <w:rPr>
        <w:color w:val="FFFFFF" w:themeColor="background1"/>
        <w:sz w:val="20"/>
        <w:szCs w:val="20"/>
      </w:rPr>
      <w:t>3553</w:t>
    </w:r>
    <w:r w:rsidRPr="00F35EFC">
      <w:rPr>
        <w:color w:val="FFFFFF" w:themeColor="background1"/>
        <w:sz w:val="20"/>
        <w:szCs w:val="20"/>
      </w:rPr>
      <w:t xml:space="preserve">, </w:t>
    </w:r>
    <w:r w:rsidR="00A22BB5">
      <w:rPr>
        <w:color w:val="FFFFFF" w:themeColor="background1"/>
        <w:sz w:val="20"/>
        <w:szCs w:val="20"/>
      </w:rPr>
      <w:t>Loganholme</w:t>
    </w:r>
    <w:r w:rsidRPr="00F35EFC">
      <w:rPr>
        <w:color w:val="FFFFFF" w:themeColor="background1"/>
        <w:sz w:val="20"/>
        <w:szCs w:val="20"/>
      </w:rPr>
      <w:t xml:space="preserve"> Qld 4</w:t>
    </w:r>
    <w:r w:rsidR="00A22BB5">
      <w:rPr>
        <w:color w:val="FFFFFF" w:themeColor="background1"/>
        <w:sz w:val="20"/>
        <w:szCs w:val="20"/>
      </w:rPr>
      <w:t>129</w:t>
    </w:r>
    <w:r w:rsidR="00170C4D">
      <w:rPr>
        <w:color w:val="FFFFFF" w:themeColor="background1"/>
        <w:sz w:val="20"/>
        <w:szCs w:val="20"/>
      </w:rPr>
      <w:t xml:space="preserve">   </w:t>
    </w:r>
    <w:r>
      <w:rPr>
        <w:color w:val="FFFFFF" w:themeColor="background1"/>
        <w:sz w:val="20"/>
        <w:szCs w:val="20"/>
      </w:rPr>
      <w:t xml:space="preserve">     </w:t>
    </w:r>
    <w:r w:rsidRPr="00F35EFC">
      <w:rPr>
        <w:color w:val="FFFFFF" w:themeColor="background1"/>
        <w:sz w:val="20"/>
        <w:szCs w:val="20"/>
      </w:rPr>
      <w:t>Australian Credit Licence: 384512   |   ABN:     86 010 377 018</w:t>
    </w:r>
  </w:p>
  <w:p w14:paraId="35775F4B" w14:textId="77777777" w:rsidR="00960DE2" w:rsidRPr="00170C4D" w:rsidRDefault="00960DE2" w:rsidP="00960DE2">
    <w:pPr>
      <w:pStyle w:val="BodyText"/>
      <w:shd w:val="clear" w:color="auto" w:fill="002060"/>
      <w:rPr>
        <w:color w:val="FFFFFF" w:themeColor="background1"/>
        <w:sz w:val="12"/>
        <w:szCs w:val="12"/>
      </w:rPr>
    </w:pPr>
  </w:p>
  <w:p w14:paraId="1CC64C71" w14:textId="77777777" w:rsidR="00960DE2" w:rsidRDefault="00960D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24534" w14:textId="77777777" w:rsidR="004E172D" w:rsidRDefault="004E172D" w:rsidP="00960DE2">
      <w:r>
        <w:separator/>
      </w:r>
    </w:p>
  </w:footnote>
  <w:footnote w:type="continuationSeparator" w:id="0">
    <w:p w14:paraId="245D9698" w14:textId="77777777" w:rsidR="004E172D" w:rsidRDefault="004E172D" w:rsidP="00960D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820" w:hanging="720"/>
      </w:pPr>
      <w:rPr>
        <w:rFonts w:ascii="Calibri Light" w:hAnsi="Calibri Light" w:cs="Calibri Light"/>
        <w:b w:val="0"/>
        <w:bCs w:val="0"/>
        <w:color w:val="252525"/>
        <w:w w:val="100"/>
        <w:sz w:val="22"/>
        <w:szCs w:val="22"/>
      </w:rPr>
    </w:lvl>
    <w:lvl w:ilvl="1">
      <w:numFmt w:val="bullet"/>
      <w:lvlText w:val="•"/>
      <w:lvlJc w:val="left"/>
      <w:pPr>
        <w:ind w:left="1664" w:hanging="720"/>
      </w:pPr>
    </w:lvl>
    <w:lvl w:ilvl="2">
      <w:numFmt w:val="bullet"/>
      <w:lvlText w:val="•"/>
      <w:lvlJc w:val="left"/>
      <w:pPr>
        <w:ind w:left="2509" w:hanging="720"/>
      </w:pPr>
    </w:lvl>
    <w:lvl w:ilvl="3">
      <w:numFmt w:val="bullet"/>
      <w:lvlText w:val="•"/>
      <w:lvlJc w:val="left"/>
      <w:pPr>
        <w:ind w:left="3353" w:hanging="720"/>
      </w:pPr>
    </w:lvl>
    <w:lvl w:ilvl="4">
      <w:numFmt w:val="bullet"/>
      <w:lvlText w:val="•"/>
      <w:lvlJc w:val="left"/>
      <w:pPr>
        <w:ind w:left="4198" w:hanging="720"/>
      </w:pPr>
    </w:lvl>
    <w:lvl w:ilvl="5">
      <w:numFmt w:val="bullet"/>
      <w:lvlText w:val="•"/>
      <w:lvlJc w:val="left"/>
      <w:pPr>
        <w:ind w:left="5043" w:hanging="720"/>
      </w:pPr>
    </w:lvl>
    <w:lvl w:ilvl="6">
      <w:numFmt w:val="bullet"/>
      <w:lvlText w:val="•"/>
      <w:lvlJc w:val="left"/>
      <w:pPr>
        <w:ind w:left="5887" w:hanging="720"/>
      </w:pPr>
    </w:lvl>
    <w:lvl w:ilvl="7">
      <w:numFmt w:val="bullet"/>
      <w:lvlText w:val="•"/>
      <w:lvlJc w:val="left"/>
      <w:pPr>
        <w:ind w:left="6732" w:hanging="720"/>
      </w:pPr>
    </w:lvl>
    <w:lvl w:ilvl="8">
      <w:numFmt w:val="bullet"/>
      <w:lvlText w:val="•"/>
      <w:lvlJc w:val="left"/>
      <w:pPr>
        <w:ind w:left="7577" w:hanging="720"/>
      </w:pPr>
    </w:lvl>
  </w:abstractNum>
  <w:abstractNum w:abstractNumId="1" w15:restartNumberingAfterBreak="0">
    <w:nsid w:val="31710A03"/>
    <w:multiLevelType w:val="multilevel"/>
    <w:tmpl w:val="00000885"/>
    <w:lvl w:ilvl="0">
      <w:start w:val="1"/>
      <w:numFmt w:val="decimal"/>
      <w:lvlText w:val="%1."/>
      <w:lvlJc w:val="left"/>
      <w:pPr>
        <w:ind w:left="820" w:hanging="720"/>
      </w:pPr>
      <w:rPr>
        <w:rFonts w:ascii="Calibri Light" w:hAnsi="Calibri Light" w:cs="Calibri Light"/>
        <w:b w:val="0"/>
        <w:bCs w:val="0"/>
        <w:color w:val="252525"/>
        <w:w w:val="100"/>
        <w:sz w:val="22"/>
        <w:szCs w:val="22"/>
      </w:rPr>
    </w:lvl>
    <w:lvl w:ilvl="1">
      <w:numFmt w:val="bullet"/>
      <w:lvlText w:val="•"/>
      <w:lvlJc w:val="left"/>
      <w:pPr>
        <w:ind w:left="1664" w:hanging="720"/>
      </w:pPr>
    </w:lvl>
    <w:lvl w:ilvl="2">
      <w:numFmt w:val="bullet"/>
      <w:lvlText w:val="•"/>
      <w:lvlJc w:val="left"/>
      <w:pPr>
        <w:ind w:left="2509" w:hanging="720"/>
      </w:pPr>
    </w:lvl>
    <w:lvl w:ilvl="3">
      <w:numFmt w:val="bullet"/>
      <w:lvlText w:val="•"/>
      <w:lvlJc w:val="left"/>
      <w:pPr>
        <w:ind w:left="3353" w:hanging="720"/>
      </w:pPr>
    </w:lvl>
    <w:lvl w:ilvl="4">
      <w:numFmt w:val="bullet"/>
      <w:lvlText w:val="•"/>
      <w:lvlJc w:val="left"/>
      <w:pPr>
        <w:ind w:left="4198" w:hanging="720"/>
      </w:pPr>
    </w:lvl>
    <w:lvl w:ilvl="5">
      <w:numFmt w:val="bullet"/>
      <w:lvlText w:val="•"/>
      <w:lvlJc w:val="left"/>
      <w:pPr>
        <w:ind w:left="5043" w:hanging="720"/>
      </w:pPr>
    </w:lvl>
    <w:lvl w:ilvl="6">
      <w:numFmt w:val="bullet"/>
      <w:lvlText w:val="•"/>
      <w:lvlJc w:val="left"/>
      <w:pPr>
        <w:ind w:left="5887" w:hanging="720"/>
      </w:pPr>
    </w:lvl>
    <w:lvl w:ilvl="7">
      <w:numFmt w:val="bullet"/>
      <w:lvlText w:val="•"/>
      <w:lvlJc w:val="left"/>
      <w:pPr>
        <w:ind w:left="6732" w:hanging="720"/>
      </w:pPr>
    </w:lvl>
    <w:lvl w:ilvl="8">
      <w:numFmt w:val="bullet"/>
      <w:lvlText w:val="•"/>
      <w:lvlJc w:val="left"/>
      <w:pPr>
        <w:ind w:left="7577" w:hanging="720"/>
      </w:pPr>
    </w:lvl>
  </w:abstractNum>
  <w:abstractNum w:abstractNumId="2" w15:restartNumberingAfterBreak="0">
    <w:nsid w:val="48CB56F1"/>
    <w:multiLevelType w:val="multilevel"/>
    <w:tmpl w:val="00000885"/>
    <w:lvl w:ilvl="0">
      <w:start w:val="1"/>
      <w:numFmt w:val="decimal"/>
      <w:lvlText w:val="%1."/>
      <w:lvlJc w:val="left"/>
      <w:pPr>
        <w:ind w:left="820" w:hanging="720"/>
      </w:pPr>
      <w:rPr>
        <w:rFonts w:ascii="Calibri Light" w:hAnsi="Calibri Light" w:cs="Calibri Light"/>
        <w:b w:val="0"/>
        <w:bCs w:val="0"/>
        <w:color w:val="252525"/>
        <w:w w:val="100"/>
        <w:sz w:val="22"/>
        <w:szCs w:val="22"/>
      </w:rPr>
    </w:lvl>
    <w:lvl w:ilvl="1">
      <w:numFmt w:val="bullet"/>
      <w:lvlText w:val="•"/>
      <w:lvlJc w:val="left"/>
      <w:pPr>
        <w:ind w:left="1664" w:hanging="720"/>
      </w:pPr>
    </w:lvl>
    <w:lvl w:ilvl="2">
      <w:numFmt w:val="bullet"/>
      <w:lvlText w:val="•"/>
      <w:lvlJc w:val="left"/>
      <w:pPr>
        <w:ind w:left="2509" w:hanging="720"/>
      </w:pPr>
    </w:lvl>
    <w:lvl w:ilvl="3">
      <w:numFmt w:val="bullet"/>
      <w:lvlText w:val="•"/>
      <w:lvlJc w:val="left"/>
      <w:pPr>
        <w:ind w:left="3353" w:hanging="720"/>
      </w:pPr>
    </w:lvl>
    <w:lvl w:ilvl="4">
      <w:numFmt w:val="bullet"/>
      <w:lvlText w:val="•"/>
      <w:lvlJc w:val="left"/>
      <w:pPr>
        <w:ind w:left="4198" w:hanging="720"/>
      </w:pPr>
    </w:lvl>
    <w:lvl w:ilvl="5">
      <w:numFmt w:val="bullet"/>
      <w:lvlText w:val="•"/>
      <w:lvlJc w:val="left"/>
      <w:pPr>
        <w:ind w:left="5043" w:hanging="720"/>
      </w:pPr>
    </w:lvl>
    <w:lvl w:ilvl="6">
      <w:numFmt w:val="bullet"/>
      <w:lvlText w:val="•"/>
      <w:lvlJc w:val="left"/>
      <w:pPr>
        <w:ind w:left="5887" w:hanging="720"/>
      </w:pPr>
    </w:lvl>
    <w:lvl w:ilvl="7">
      <w:numFmt w:val="bullet"/>
      <w:lvlText w:val="•"/>
      <w:lvlJc w:val="left"/>
      <w:pPr>
        <w:ind w:left="6732" w:hanging="720"/>
      </w:pPr>
    </w:lvl>
    <w:lvl w:ilvl="8">
      <w:numFmt w:val="bullet"/>
      <w:lvlText w:val="•"/>
      <w:lvlJc w:val="left"/>
      <w:pPr>
        <w:ind w:left="7577" w:hanging="720"/>
      </w:pPr>
    </w:lvl>
  </w:abstractNum>
  <w:abstractNum w:abstractNumId="3" w15:restartNumberingAfterBreak="0">
    <w:nsid w:val="4B331561"/>
    <w:multiLevelType w:val="multilevel"/>
    <w:tmpl w:val="A7365578"/>
    <w:lvl w:ilvl="0">
      <w:start w:val="1"/>
      <w:numFmt w:val="decimal"/>
      <w:lvlText w:val="%1."/>
      <w:lvlJc w:val="left"/>
      <w:pPr>
        <w:ind w:left="820" w:hanging="720"/>
      </w:pPr>
      <w:rPr>
        <w:rFonts w:ascii="Calibri Light" w:hAnsi="Calibri Light" w:cs="Calibri Light"/>
        <w:b w:val="0"/>
        <w:bCs w:val="0"/>
        <w:color w:val="252525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664" w:hanging="720"/>
      </w:pPr>
    </w:lvl>
    <w:lvl w:ilvl="2">
      <w:numFmt w:val="bullet"/>
      <w:lvlText w:val="•"/>
      <w:lvlJc w:val="left"/>
      <w:pPr>
        <w:ind w:left="2509" w:hanging="720"/>
      </w:pPr>
    </w:lvl>
    <w:lvl w:ilvl="3">
      <w:numFmt w:val="bullet"/>
      <w:lvlText w:val="•"/>
      <w:lvlJc w:val="left"/>
      <w:pPr>
        <w:ind w:left="3353" w:hanging="720"/>
      </w:pPr>
    </w:lvl>
    <w:lvl w:ilvl="4">
      <w:numFmt w:val="bullet"/>
      <w:lvlText w:val="•"/>
      <w:lvlJc w:val="left"/>
      <w:pPr>
        <w:ind w:left="4198" w:hanging="720"/>
      </w:pPr>
    </w:lvl>
    <w:lvl w:ilvl="5">
      <w:numFmt w:val="bullet"/>
      <w:lvlText w:val="•"/>
      <w:lvlJc w:val="left"/>
      <w:pPr>
        <w:ind w:left="5043" w:hanging="720"/>
      </w:pPr>
    </w:lvl>
    <w:lvl w:ilvl="6">
      <w:numFmt w:val="bullet"/>
      <w:lvlText w:val="•"/>
      <w:lvlJc w:val="left"/>
      <w:pPr>
        <w:ind w:left="5887" w:hanging="720"/>
      </w:pPr>
    </w:lvl>
    <w:lvl w:ilvl="7">
      <w:numFmt w:val="bullet"/>
      <w:lvlText w:val="•"/>
      <w:lvlJc w:val="left"/>
      <w:pPr>
        <w:ind w:left="6732" w:hanging="720"/>
      </w:pPr>
    </w:lvl>
    <w:lvl w:ilvl="8">
      <w:numFmt w:val="bullet"/>
      <w:lvlText w:val="•"/>
      <w:lvlJc w:val="left"/>
      <w:pPr>
        <w:ind w:left="7577" w:hanging="720"/>
      </w:pPr>
    </w:lvl>
  </w:abstractNum>
  <w:abstractNum w:abstractNumId="4" w15:restartNumberingAfterBreak="0">
    <w:nsid w:val="75F3360C"/>
    <w:multiLevelType w:val="hybridMultilevel"/>
    <w:tmpl w:val="4424A0DE"/>
    <w:lvl w:ilvl="0" w:tplc="F2C878B0">
      <w:numFmt w:val="bullet"/>
      <w:lvlText w:val="•"/>
      <w:lvlJc w:val="left"/>
      <w:pPr>
        <w:ind w:left="231" w:hanging="121"/>
      </w:pPr>
      <w:rPr>
        <w:rFonts w:ascii="Arial" w:eastAsia="Arial" w:hAnsi="Arial" w:cs="Arial" w:hint="default"/>
        <w:w w:val="114"/>
        <w:sz w:val="16"/>
        <w:szCs w:val="16"/>
        <w:lang w:val="en-US" w:eastAsia="en-US" w:bidi="en-US"/>
      </w:rPr>
    </w:lvl>
    <w:lvl w:ilvl="1" w:tplc="62F02B1E">
      <w:numFmt w:val="bullet"/>
      <w:lvlText w:val="•"/>
      <w:lvlJc w:val="left"/>
      <w:pPr>
        <w:ind w:left="575" w:hanging="121"/>
      </w:pPr>
      <w:rPr>
        <w:rFonts w:hint="default"/>
        <w:lang w:val="en-US" w:eastAsia="en-US" w:bidi="en-US"/>
      </w:rPr>
    </w:lvl>
    <w:lvl w:ilvl="2" w:tplc="AC70C5FC">
      <w:numFmt w:val="bullet"/>
      <w:lvlText w:val="•"/>
      <w:lvlJc w:val="left"/>
      <w:pPr>
        <w:ind w:left="911" w:hanging="121"/>
      </w:pPr>
      <w:rPr>
        <w:rFonts w:hint="default"/>
        <w:lang w:val="en-US" w:eastAsia="en-US" w:bidi="en-US"/>
      </w:rPr>
    </w:lvl>
    <w:lvl w:ilvl="3" w:tplc="D004BD54">
      <w:numFmt w:val="bullet"/>
      <w:lvlText w:val="•"/>
      <w:lvlJc w:val="left"/>
      <w:pPr>
        <w:ind w:left="1246" w:hanging="121"/>
      </w:pPr>
      <w:rPr>
        <w:rFonts w:hint="default"/>
        <w:lang w:val="en-US" w:eastAsia="en-US" w:bidi="en-US"/>
      </w:rPr>
    </w:lvl>
    <w:lvl w:ilvl="4" w:tplc="E05016CC">
      <w:numFmt w:val="bullet"/>
      <w:lvlText w:val="•"/>
      <w:lvlJc w:val="left"/>
      <w:pPr>
        <w:ind w:left="1582" w:hanging="121"/>
      </w:pPr>
      <w:rPr>
        <w:rFonts w:hint="default"/>
        <w:lang w:val="en-US" w:eastAsia="en-US" w:bidi="en-US"/>
      </w:rPr>
    </w:lvl>
    <w:lvl w:ilvl="5" w:tplc="EB4ED3FE">
      <w:numFmt w:val="bullet"/>
      <w:lvlText w:val="•"/>
      <w:lvlJc w:val="left"/>
      <w:pPr>
        <w:ind w:left="1917" w:hanging="121"/>
      </w:pPr>
      <w:rPr>
        <w:rFonts w:hint="default"/>
        <w:lang w:val="en-US" w:eastAsia="en-US" w:bidi="en-US"/>
      </w:rPr>
    </w:lvl>
    <w:lvl w:ilvl="6" w:tplc="30E6690E">
      <w:numFmt w:val="bullet"/>
      <w:lvlText w:val="•"/>
      <w:lvlJc w:val="left"/>
      <w:pPr>
        <w:ind w:left="2253" w:hanging="121"/>
      </w:pPr>
      <w:rPr>
        <w:rFonts w:hint="default"/>
        <w:lang w:val="en-US" w:eastAsia="en-US" w:bidi="en-US"/>
      </w:rPr>
    </w:lvl>
    <w:lvl w:ilvl="7" w:tplc="CB9257E2">
      <w:numFmt w:val="bullet"/>
      <w:lvlText w:val="•"/>
      <w:lvlJc w:val="left"/>
      <w:pPr>
        <w:ind w:left="2588" w:hanging="121"/>
      </w:pPr>
      <w:rPr>
        <w:rFonts w:hint="default"/>
        <w:lang w:val="en-US" w:eastAsia="en-US" w:bidi="en-US"/>
      </w:rPr>
    </w:lvl>
    <w:lvl w:ilvl="8" w:tplc="0A3CEFA8">
      <w:numFmt w:val="bullet"/>
      <w:lvlText w:val="•"/>
      <w:lvlJc w:val="left"/>
      <w:pPr>
        <w:ind w:left="2924" w:hanging="121"/>
      </w:pPr>
      <w:rPr>
        <w:rFonts w:hint="default"/>
        <w:lang w:val="en-US" w:eastAsia="en-US" w:bidi="en-US"/>
      </w:rPr>
    </w:lvl>
  </w:abstractNum>
  <w:num w:numId="1" w16cid:durableId="578562255">
    <w:abstractNumId w:val="4"/>
  </w:num>
  <w:num w:numId="2" w16cid:durableId="279650245">
    <w:abstractNumId w:val="0"/>
  </w:num>
  <w:num w:numId="3" w16cid:durableId="1897011939">
    <w:abstractNumId w:val="1"/>
  </w:num>
  <w:num w:numId="4" w16cid:durableId="1068655289">
    <w:abstractNumId w:val="2"/>
  </w:num>
  <w:num w:numId="5" w16cid:durableId="15080626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54D"/>
    <w:rsid w:val="00002DD8"/>
    <w:rsid w:val="00012689"/>
    <w:rsid w:val="00024FE1"/>
    <w:rsid w:val="000502AE"/>
    <w:rsid w:val="00052CFE"/>
    <w:rsid w:val="00055A82"/>
    <w:rsid w:val="00086B6C"/>
    <w:rsid w:val="00094BE7"/>
    <w:rsid w:val="00094E69"/>
    <w:rsid w:val="000972DE"/>
    <w:rsid w:val="000A7A1C"/>
    <w:rsid w:val="000E78C6"/>
    <w:rsid w:val="000F6156"/>
    <w:rsid w:val="00101C36"/>
    <w:rsid w:val="00111227"/>
    <w:rsid w:val="001338F6"/>
    <w:rsid w:val="00151BD5"/>
    <w:rsid w:val="00162B9F"/>
    <w:rsid w:val="00170C4D"/>
    <w:rsid w:val="00192B87"/>
    <w:rsid w:val="001C29BD"/>
    <w:rsid w:val="001E39BD"/>
    <w:rsid w:val="00246FC0"/>
    <w:rsid w:val="00287850"/>
    <w:rsid w:val="002878CF"/>
    <w:rsid w:val="00293E80"/>
    <w:rsid w:val="002A2430"/>
    <w:rsid w:val="002E127C"/>
    <w:rsid w:val="002F3D18"/>
    <w:rsid w:val="002F6E7D"/>
    <w:rsid w:val="003729B4"/>
    <w:rsid w:val="0038123F"/>
    <w:rsid w:val="00382D1D"/>
    <w:rsid w:val="003A21B0"/>
    <w:rsid w:val="003F617F"/>
    <w:rsid w:val="0044287A"/>
    <w:rsid w:val="004828CA"/>
    <w:rsid w:val="00494CC0"/>
    <w:rsid w:val="004A22EC"/>
    <w:rsid w:val="004B6FAB"/>
    <w:rsid w:val="004C4C50"/>
    <w:rsid w:val="004E172D"/>
    <w:rsid w:val="004E2418"/>
    <w:rsid w:val="00502BF1"/>
    <w:rsid w:val="005103E4"/>
    <w:rsid w:val="00540CB0"/>
    <w:rsid w:val="005434EF"/>
    <w:rsid w:val="00550390"/>
    <w:rsid w:val="005812D2"/>
    <w:rsid w:val="005C35A9"/>
    <w:rsid w:val="005E7980"/>
    <w:rsid w:val="0063641D"/>
    <w:rsid w:val="00651F2D"/>
    <w:rsid w:val="00654270"/>
    <w:rsid w:val="00664098"/>
    <w:rsid w:val="00664726"/>
    <w:rsid w:val="006B27FD"/>
    <w:rsid w:val="006C7A99"/>
    <w:rsid w:val="006D034D"/>
    <w:rsid w:val="006F0C83"/>
    <w:rsid w:val="006F741F"/>
    <w:rsid w:val="00706D9E"/>
    <w:rsid w:val="00715CE6"/>
    <w:rsid w:val="007169FF"/>
    <w:rsid w:val="007203A6"/>
    <w:rsid w:val="007210C7"/>
    <w:rsid w:val="00766882"/>
    <w:rsid w:val="00780EC1"/>
    <w:rsid w:val="007831F0"/>
    <w:rsid w:val="0078657F"/>
    <w:rsid w:val="0079454D"/>
    <w:rsid w:val="007E17D5"/>
    <w:rsid w:val="007E6F09"/>
    <w:rsid w:val="008057D2"/>
    <w:rsid w:val="00805E36"/>
    <w:rsid w:val="008139B2"/>
    <w:rsid w:val="008304DF"/>
    <w:rsid w:val="00842E24"/>
    <w:rsid w:val="008436A5"/>
    <w:rsid w:val="008636DA"/>
    <w:rsid w:val="008C44FC"/>
    <w:rsid w:val="008C6539"/>
    <w:rsid w:val="008C6B33"/>
    <w:rsid w:val="008D4B7B"/>
    <w:rsid w:val="008F31EE"/>
    <w:rsid w:val="00910081"/>
    <w:rsid w:val="00910165"/>
    <w:rsid w:val="009151F9"/>
    <w:rsid w:val="00916DC0"/>
    <w:rsid w:val="00930AEE"/>
    <w:rsid w:val="00935E52"/>
    <w:rsid w:val="00937A03"/>
    <w:rsid w:val="00960DE2"/>
    <w:rsid w:val="00975DC6"/>
    <w:rsid w:val="009A0DDB"/>
    <w:rsid w:val="009B0697"/>
    <w:rsid w:val="009F3745"/>
    <w:rsid w:val="00A22BB5"/>
    <w:rsid w:val="00A35E80"/>
    <w:rsid w:val="00A36D3E"/>
    <w:rsid w:val="00A73992"/>
    <w:rsid w:val="00AB0D5C"/>
    <w:rsid w:val="00AB5340"/>
    <w:rsid w:val="00B0516E"/>
    <w:rsid w:val="00B223EC"/>
    <w:rsid w:val="00B379DB"/>
    <w:rsid w:val="00B908AA"/>
    <w:rsid w:val="00BA7AD0"/>
    <w:rsid w:val="00BB2466"/>
    <w:rsid w:val="00BC03F5"/>
    <w:rsid w:val="00BC6D5C"/>
    <w:rsid w:val="00BD5D52"/>
    <w:rsid w:val="00C0783B"/>
    <w:rsid w:val="00C21514"/>
    <w:rsid w:val="00C3228B"/>
    <w:rsid w:val="00C64BE7"/>
    <w:rsid w:val="00CA0334"/>
    <w:rsid w:val="00CA0808"/>
    <w:rsid w:val="00CA418A"/>
    <w:rsid w:val="00CD78EB"/>
    <w:rsid w:val="00D150C6"/>
    <w:rsid w:val="00D21EAC"/>
    <w:rsid w:val="00D415C1"/>
    <w:rsid w:val="00D4415E"/>
    <w:rsid w:val="00D64010"/>
    <w:rsid w:val="00D66171"/>
    <w:rsid w:val="00D9177E"/>
    <w:rsid w:val="00DE3F35"/>
    <w:rsid w:val="00DF17DF"/>
    <w:rsid w:val="00E10BFE"/>
    <w:rsid w:val="00E23F09"/>
    <w:rsid w:val="00E60E1A"/>
    <w:rsid w:val="00E6785B"/>
    <w:rsid w:val="00E72655"/>
    <w:rsid w:val="00EA4197"/>
    <w:rsid w:val="00EB513C"/>
    <w:rsid w:val="00F2643A"/>
    <w:rsid w:val="00F566CA"/>
    <w:rsid w:val="00F770E4"/>
    <w:rsid w:val="00F92C46"/>
    <w:rsid w:val="00FD1145"/>
    <w:rsid w:val="00FD3FC7"/>
    <w:rsid w:val="00FE24C0"/>
    <w:rsid w:val="00FE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B3D18"/>
  <w15:docId w15:val="{50E15548-107D-4926-BE38-9177A842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9"/>
      <w:ind w:left="113"/>
    </w:pPr>
  </w:style>
  <w:style w:type="table" w:styleId="TableGrid">
    <w:name w:val="Table Grid"/>
    <w:basedOn w:val="TableNormal"/>
    <w:uiPriority w:val="39"/>
    <w:rsid w:val="001E3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10081"/>
    <w:pPr>
      <w:widowControl/>
      <w:adjustRightInd w:val="0"/>
    </w:pPr>
    <w:rPr>
      <w:rFonts w:ascii="Arial" w:hAnsi="Arial" w:cs="Arial"/>
      <w:color w:val="000000"/>
      <w:sz w:val="24"/>
      <w:szCs w:val="24"/>
      <w:lang w:val="en-AU"/>
    </w:rPr>
  </w:style>
  <w:style w:type="paragraph" w:customStyle="1" w:styleId="Pa1">
    <w:name w:val="Pa1"/>
    <w:basedOn w:val="Default"/>
    <w:next w:val="Default"/>
    <w:uiPriority w:val="99"/>
    <w:rsid w:val="00910081"/>
    <w:pPr>
      <w:spacing w:line="151" w:lineRule="atLeast"/>
    </w:pPr>
    <w:rPr>
      <w:color w:val="auto"/>
    </w:rPr>
  </w:style>
  <w:style w:type="character" w:customStyle="1" w:styleId="A0">
    <w:name w:val="A0"/>
    <w:uiPriority w:val="99"/>
    <w:rsid w:val="00910081"/>
    <w:rPr>
      <w:color w:val="211D1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60D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0DE2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960D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0DE2"/>
    <w:rPr>
      <w:rFonts w:ascii="Arial" w:eastAsia="Arial" w:hAnsi="Arial" w:cs="Arial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960DE2"/>
    <w:rPr>
      <w:rFonts w:ascii="Arial" w:eastAsia="Arial" w:hAnsi="Arial" w:cs="Arial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svg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D46B0-E07F-4EB3-B356-1F4B511D7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670</Words>
  <Characters>3439</Characters>
  <Application>Microsoft Office Word</Application>
  <DocSecurity>0</DocSecurity>
  <Lines>137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Wells</dc:creator>
  <cp:lastModifiedBy>Tom Wells</cp:lastModifiedBy>
  <cp:revision>2</cp:revision>
  <dcterms:created xsi:type="dcterms:W3CDTF">2025-09-18T23:01:00Z</dcterms:created>
  <dcterms:modified xsi:type="dcterms:W3CDTF">2025-09-18T23:01:00Z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2017-07-18T00:00:00Z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2019-02-21T00:00:00Z</vt:filetime>
  </property>
</Properties>
</file>