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FDB7" w14:textId="0AD3F14F" w:rsidR="0079454D" w:rsidRDefault="00D9177E">
      <w:pPr>
        <w:pStyle w:val="BodyText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 wp14:anchorId="4A1C3099" wp14:editId="5D9E643D">
                <wp:simplePos x="0" y="0"/>
                <wp:positionH relativeFrom="page">
                  <wp:posOffset>3856355</wp:posOffset>
                </wp:positionH>
                <wp:positionV relativeFrom="page">
                  <wp:posOffset>3588385</wp:posOffset>
                </wp:positionV>
                <wp:extent cx="3274060" cy="3175"/>
                <wp:effectExtent l="8255" t="6985" r="1333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5651"/>
                          <a:chExt cx="5156" cy="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73" y="5654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25" y="5654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9415E1" id="Group 11" o:spid="_x0000_s1026" style="position:absolute;margin-left:303.65pt;margin-top:282.55pt;width:257.8pt;height:.25pt;z-index:-9064;mso-position-horizontal-relative:page;mso-position-vertical-relative:page" coordorigin="6073,5651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">
                <v:line id="Line 13" o:spid="_x0000_s1027" style="position:absolute;visibility:visible;mso-wrap-style:square" from="6073,5654" to="7625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" strokecolor="#8e8889" strokeweight=".25pt"/>
                <v:line id="Line 12" o:spid="_x0000_s1028" style="position:absolute;visibility:visible;mso-wrap-style:square" from="7625,5654" to="11228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" strokecolor="#8e8889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40" behindDoc="1" locked="0" layoutInCell="1" allowOverlap="1" wp14:anchorId="157484B4" wp14:editId="3213AC1B">
                <wp:simplePos x="0" y="0"/>
                <wp:positionH relativeFrom="page">
                  <wp:posOffset>3856355</wp:posOffset>
                </wp:positionH>
                <wp:positionV relativeFrom="page">
                  <wp:posOffset>3858260</wp:posOffset>
                </wp:positionV>
                <wp:extent cx="3274060" cy="3175"/>
                <wp:effectExtent l="8255" t="10160" r="1333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6076"/>
                          <a:chExt cx="5156" cy="5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73" y="6078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25" y="6078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1E3DB" id="Group 8" o:spid="_x0000_s1026" style="position:absolute;margin-left:303.65pt;margin-top:303.8pt;width:257.8pt;height:.25pt;z-index:-9040;mso-position-horizontal-relative:page;mso-position-vertical-relative:page" coordorigin="6073,6076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">
                <v:line id="Line 10" o:spid="_x0000_s1027" style="position:absolute;visibility:visible;mso-wrap-style:square" from="6073,6078" to="7625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" strokecolor="#8e8889" strokeweight=".25pt"/>
                <v:line id="Line 9" o:spid="_x0000_s1028" style="position:absolute;visibility:visible;mso-wrap-style:square" from="7625,6078" to="11228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" strokecolor="#8e8889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64" behindDoc="1" locked="0" layoutInCell="1" allowOverlap="1" wp14:anchorId="37BE62EC" wp14:editId="1DE5CCC8">
                <wp:simplePos x="0" y="0"/>
                <wp:positionH relativeFrom="page">
                  <wp:posOffset>3856355</wp:posOffset>
                </wp:positionH>
                <wp:positionV relativeFrom="page">
                  <wp:posOffset>5001895</wp:posOffset>
                </wp:positionV>
                <wp:extent cx="3274060" cy="3175"/>
                <wp:effectExtent l="8255" t="10795" r="13335" b="50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7877"/>
                          <a:chExt cx="5156" cy="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73" y="7879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625" y="7879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8C605" id="Group 5" o:spid="_x0000_s1026" style="position:absolute;margin-left:303.65pt;margin-top:393.85pt;width:257.8pt;height:.25pt;z-index:-9016;mso-position-horizontal-relative:page;mso-position-vertical-relative:page" coordorigin="6073,7877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">
                <v:line id="Line 7" o:spid="_x0000_s1027" style="position:absolute;visibility:visible;mso-wrap-style:square" from="6073,7879" to="7625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" strokecolor="#8e8889" strokeweight=".25pt"/>
                <v:line id="Line 6" o:spid="_x0000_s1028" style="position:absolute;visibility:visible;mso-wrap-style:square" from="7625,7879" to="11228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" strokecolor="#8e8889" strokeweight=".25pt"/>
                <w10:wrap anchorx="page" anchory="page"/>
              </v:group>
            </w:pict>
          </mc:Fallback>
        </mc:AlternateContent>
      </w:r>
    </w:p>
    <w:p w14:paraId="524E9169" w14:textId="77777777" w:rsidR="0088792D" w:rsidRDefault="004D6C3C" w:rsidP="00F86F95">
      <w:pPr>
        <w:tabs>
          <w:tab w:val="left" w:pos="1443"/>
        </w:tabs>
        <w:spacing w:before="113" w:line="223" w:lineRule="auto"/>
        <w:ind w:left="109" w:right="5403"/>
        <w:rPr>
          <w:b/>
          <w:color w:val="7030A0"/>
          <w:sz w:val="40"/>
        </w:rPr>
      </w:pPr>
      <w:r w:rsidRPr="004D6C3C">
        <w:rPr>
          <w:b/>
          <w:noProof/>
          <w:color w:val="7030A0"/>
          <w:sz w:val="40"/>
        </w:rPr>
        <mc:AlternateContent>
          <mc:Choice Requires="wps">
            <w:drawing>
              <wp:anchor distT="45720" distB="45720" distL="114300" distR="114300" simplePos="0" relativeHeight="503309512" behindDoc="0" locked="0" layoutInCell="1" allowOverlap="1" wp14:anchorId="7E9A13EE" wp14:editId="3EB30920">
                <wp:simplePos x="0" y="0"/>
                <wp:positionH relativeFrom="column">
                  <wp:posOffset>4057650</wp:posOffset>
                </wp:positionH>
                <wp:positionV relativeFrom="paragraph">
                  <wp:posOffset>49530</wp:posOffset>
                </wp:positionV>
                <wp:extent cx="2360930" cy="1404620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17BB5" w14:textId="34E4D71A" w:rsidR="004D6C3C" w:rsidRDefault="004D6C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1CC408" wp14:editId="4C993A9A">
                                  <wp:extent cx="2358575" cy="659130"/>
                                  <wp:effectExtent l="0" t="0" r="381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62318" cy="6601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9A1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5pt;margin-top:3.9pt;width:185.9pt;height:110.6pt;z-index:5033095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KT5&#10;n6nfAAAACgEAAA8AAAAAAAAAAAAAAAAAaAQAAGRycy9kb3ducmV2LnhtbFBLBQYAAAAABAAEAPMA&#10;AAB0BQAAAAA=&#10;" stroked="f">
                <v:textbox style="mso-fit-shape-to-text:t">
                  <w:txbxContent>
                    <w:p w14:paraId="26317BB5" w14:textId="34E4D71A" w:rsidR="004D6C3C" w:rsidRDefault="004D6C3C">
                      <w:r>
                        <w:rPr>
                          <w:noProof/>
                        </w:rPr>
                        <w:drawing>
                          <wp:inline distT="0" distB="0" distL="0" distR="0" wp14:anchorId="4A1CC408" wp14:editId="4C993A9A">
                            <wp:extent cx="2358575" cy="659130"/>
                            <wp:effectExtent l="0" t="0" r="381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62318" cy="6601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6F95" w:rsidRPr="00F86F95">
        <w:rPr>
          <w:b/>
          <w:color w:val="7030A0"/>
          <w:sz w:val="40"/>
        </w:rPr>
        <w:t>PURPLE</w:t>
      </w:r>
      <w:r w:rsidR="00BA4C7D" w:rsidRPr="00F86F95">
        <w:rPr>
          <w:b/>
          <w:color w:val="7030A0"/>
          <w:sz w:val="40"/>
        </w:rPr>
        <w:t xml:space="preserve"> </w:t>
      </w:r>
      <w:r w:rsidR="0047571C">
        <w:rPr>
          <w:b/>
          <w:color w:val="7030A0"/>
          <w:sz w:val="40"/>
        </w:rPr>
        <w:t>Rural</w:t>
      </w:r>
      <w:r w:rsidR="00FB1696" w:rsidRPr="00F86F95">
        <w:rPr>
          <w:b/>
          <w:color w:val="7030A0"/>
          <w:sz w:val="40"/>
        </w:rPr>
        <w:t xml:space="preserve"> </w:t>
      </w:r>
    </w:p>
    <w:p w14:paraId="7BBC71B5" w14:textId="4C475338" w:rsidR="0079454D" w:rsidRDefault="00E30B1D" w:rsidP="00F86F95">
      <w:pPr>
        <w:tabs>
          <w:tab w:val="left" w:pos="1443"/>
        </w:tabs>
        <w:spacing w:before="113" w:line="223" w:lineRule="auto"/>
        <w:ind w:left="109" w:right="5403"/>
        <w:rPr>
          <w:b/>
          <w:color w:val="7030A0"/>
          <w:sz w:val="40"/>
        </w:rPr>
      </w:pPr>
      <w:r>
        <w:rPr>
          <w:b/>
          <w:color w:val="7030A0"/>
          <w:sz w:val="40"/>
        </w:rPr>
        <w:t>Residential Loan</w:t>
      </w:r>
      <w:r w:rsidR="003979F4">
        <w:rPr>
          <w:b/>
          <w:color w:val="7030A0"/>
          <w:sz w:val="40"/>
        </w:rPr>
        <w:t xml:space="preserve"> 75%</w:t>
      </w:r>
    </w:p>
    <w:p w14:paraId="67DE0C32" w14:textId="2F357DA9" w:rsidR="00E07ADA" w:rsidRPr="00E07ADA" w:rsidRDefault="00E07ADA" w:rsidP="00F86F95">
      <w:pPr>
        <w:tabs>
          <w:tab w:val="left" w:pos="1443"/>
        </w:tabs>
        <w:spacing w:before="113" w:line="223" w:lineRule="auto"/>
        <w:ind w:left="109" w:right="5403"/>
        <w:rPr>
          <w:b/>
          <w:sz w:val="40"/>
        </w:rPr>
      </w:pPr>
      <w:r>
        <w:rPr>
          <w:b/>
          <w:sz w:val="40"/>
        </w:rPr>
        <w:t>PRODUCT FACT SHEET</w:t>
      </w:r>
    </w:p>
    <w:p w14:paraId="01E04ED8" w14:textId="04CE8719" w:rsidR="0079454D" w:rsidRPr="00E07ADA" w:rsidRDefault="000502AE">
      <w:pPr>
        <w:pStyle w:val="BodyText"/>
        <w:spacing w:line="207" w:lineRule="exact"/>
        <w:ind w:left="109"/>
      </w:pPr>
      <w:r w:rsidRPr="00E07ADA">
        <w:rPr>
          <w:color w:val="3F3F3F"/>
          <w:w w:val="95"/>
        </w:rPr>
        <w:t xml:space="preserve">UPDATED: </w:t>
      </w:r>
      <w:r w:rsidR="00313D91">
        <w:rPr>
          <w:color w:val="3F3F3F"/>
          <w:w w:val="95"/>
        </w:rPr>
        <w:t>15 September</w:t>
      </w:r>
      <w:r w:rsidR="00511B84">
        <w:rPr>
          <w:color w:val="3F3F3F"/>
          <w:w w:val="95"/>
        </w:rPr>
        <w:t xml:space="preserve"> 202</w:t>
      </w:r>
      <w:r w:rsidR="00313D91">
        <w:rPr>
          <w:color w:val="3F3F3F"/>
          <w:w w:val="95"/>
        </w:rPr>
        <w:t>5</w:t>
      </w:r>
    </w:p>
    <w:p w14:paraId="153D56A4" w14:textId="764B84BB" w:rsidR="0079454D" w:rsidRPr="00E07ADA" w:rsidRDefault="00E30B1D" w:rsidP="00E30B1D">
      <w:pPr>
        <w:pStyle w:val="BodyText"/>
        <w:tabs>
          <w:tab w:val="left" w:pos="1494"/>
        </w:tabs>
        <w:spacing w:before="13"/>
        <w:rPr>
          <w:sz w:val="8"/>
          <w:szCs w:val="8"/>
        </w:rPr>
      </w:pPr>
      <w:r w:rsidRPr="00E07ADA">
        <w:rPr>
          <w:sz w:val="8"/>
          <w:szCs w:val="8"/>
        </w:rPr>
        <w:tab/>
      </w:r>
    </w:p>
    <w:p w14:paraId="318BEE03" w14:textId="048CF7D5" w:rsidR="0001602C" w:rsidRPr="00AE0E26" w:rsidRDefault="0001602C" w:rsidP="0001602C">
      <w:pPr>
        <w:pStyle w:val="Heading2"/>
        <w:spacing w:before="81" w:line="302" w:lineRule="auto"/>
        <w:ind w:left="120" w:right="60" w:firstLine="0"/>
        <w:rPr>
          <w:sz w:val="16"/>
          <w:szCs w:val="16"/>
        </w:rPr>
      </w:pPr>
      <w:r w:rsidRPr="00AE0E26">
        <w:rPr>
          <w:w w:val="105"/>
          <w:sz w:val="16"/>
          <w:szCs w:val="16"/>
        </w:rPr>
        <w:t xml:space="preserve">Allstate </w:t>
      </w:r>
      <w:r w:rsidR="004B01AF">
        <w:rPr>
          <w:w w:val="105"/>
          <w:sz w:val="16"/>
          <w:szCs w:val="16"/>
        </w:rPr>
        <w:t xml:space="preserve">Rural </w:t>
      </w:r>
      <w:r w:rsidRPr="00AE0E26">
        <w:rPr>
          <w:w w:val="105"/>
          <w:sz w:val="16"/>
          <w:szCs w:val="16"/>
        </w:rPr>
        <w:t>Home</w:t>
      </w:r>
      <w:r w:rsidRPr="00AE0E26">
        <w:rPr>
          <w:spacing w:val="-10"/>
          <w:w w:val="105"/>
          <w:sz w:val="16"/>
          <w:szCs w:val="16"/>
        </w:rPr>
        <w:t xml:space="preserve"> </w:t>
      </w:r>
      <w:r w:rsidRPr="00AE0E26">
        <w:rPr>
          <w:w w:val="105"/>
          <w:sz w:val="16"/>
          <w:szCs w:val="16"/>
        </w:rPr>
        <w:t>Loan</w:t>
      </w:r>
      <w:r w:rsidRPr="00AE0E26">
        <w:rPr>
          <w:spacing w:val="-9"/>
          <w:w w:val="105"/>
          <w:sz w:val="16"/>
          <w:szCs w:val="16"/>
        </w:rPr>
        <w:t xml:space="preserve"> </w:t>
      </w:r>
      <w:r w:rsidRPr="00AE0E26">
        <w:rPr>
          <w:w w:val="105"/>
          <w:sz w:val="16"/>
          <w:szCs w:val="16"/>
        </w:rPr>
        <w:t>is</w:t>
      </w:r>
      <w:r w:rsidRPr="00AE0E26">
        <w:rPr>
          <w:spacing w:val="-9"/>
          <w:w w:val="105"/>
          <w:sz w:val="16"/>
          <w:szCs w:val="16"/>
        </w:rPr>
        <w:t xml:space="preserve"> </w:t>
      </w:r>
      <w:r w:rsidR="004B01AF">
        <w:rPr>
          <w:spacing w:val="-9"/>
          <w:w w:val="105"/>
          <w:sz w:val="16"/>
          <w:szCs w:val="16"/>
        </w:rPr>
        <w:t xml:space="preserve">available as an Altdoc or Full Doc </w:t>
      </w:r>
      <w:r w:rsidRPr="00AE0E26">
        <w:rPr>
          <w:w w:val="105"/>
          <w:sz w:val="16"/>
          <w:szCs w:val="16"/>
        </w:rPr>
        <w:t>loan</w:t>
      </w:r>
      <w:r w:rsidRPr="00AE0E26">
        <w:rPr>
          <w:spacing w:val="-9"/>
          <w:w w:val="105"/>
          <w:sz w:val="16"/>
          <w:szCs w:val="16"/>
        </w:rPr>
        <w:t xml:space="preserve"> </w:t>
      </w:r>
      <w:r w:rsidR="00A419E3" w:rsidRPr="00AE0E26">
        <w:rPr>
          <w:w w:val="105"/>
          <w:sz w:val="16"/>
          <w:szCs w:val="16"/>
        </w:rPr>
        <w:t>specifically tailored to suit the needs of</w:t>
      </w:r>
      <w:r w:rsidR="00FB1696" w:rsidRPr="00AE0E26">
        <w:rPr>
          <w:w w:val="105"/>
          <w:sz w:val="16"/>
          <w:szCs w:val="16"/>
        </w:rPr>
        <w:t xml:space="preserve"> </w:t>
      </w:r>
      <w:r w:rsidR="004B01AF">
        <w:rPr>
          <w:w w:val="105"/>
          <w:sz w:val="16"/>
          <w:szCs w:val="16"/>
        </w:rPr>
        <w:t>PAYG or self-employed clients who wish to live on a rural</w:t>
      </w:r>
      <w:r w:rsidR="00A92901">
        <w:rPr>
          <w:w w:val="105"/>
          <w:sz w:val="16"/>
          <w:szCs w:val="16"/>
        </w:rPr>
        <w:t xml:space="preserve"> or rural residential</w:t>
      </w:r>
      <w:r w:rsidR="004B01AF">
        <w:rPr>
          <w:w w:val="105"/>
          <w:sz w:val="16"/>
          <w:szCs w:val="16"/>
        </w:rPr>
        <w:t xml:space="preserve"> property.</w:t>
      </w:r>
      <w:r w:rsidR="00291FD9" w:rsidRPr="00AE0E26">
        <w:rPr>
          <w:w w:val="105"/>
          <w:sz w:val="16"/>
          <w:szCs w:val="16"/>
        </w:rPr>
        <w:t xml:space="preserve"> Company &amp; Trust borrowers are welcome.</w:t>
      </w:r>
    </w:p>
    <w:p w14:paraId="47A16CDC" w14:textId="77777777" w:rsidR="0079454D" w:rsidRPr="006B2C96" w:rsidRDefault="0079454D">
      <w:pPr>
        <w:pStyle w:val="BodyText"/>
        <w:spacing w:before="8"/>
        <w:rPr>
          <w:sz w:val="12"/>
          <w:szCs w:val="12"/>
        </w:rPr>
      </w:pPr>
    </w:p>
    <w:tbl>
      <w:tblPr>
        <w:tblW w:w="0" w:type="auto"/>
        <w:tblInd w:w="122" w:type="dxa"/>
        <w:tblBorders>
          <w:top w:val="single" w:sz="2" w:space="0" w:color="8E8889"/>
          <w:left w:val="single" w:sz="2" w:space="0" w:color="8E8889"/>
          <w:bottom w:val="single" w:sz="2" w:space="0" w:color="8E8889"/>
          <w:right w:val="single" w:sz="2" w:space="0" w:color="8E8889"/>
          <w:insideH w:val="single" w:sz="6" w:space="0" w:color="8E8889"/>
          <w:insideV w:val="single" w:sz="6" w:space="0" w:color="8E88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4137"/>
        <w:gridCol w:w="35"/>
        <w:gridCol w:w="1571"/>
        <w:gridCol w:w="4071"/>
      </w:tblGrid>
      <w:tr w:rsidR="00A94D32" w14:paraId="75436390" w14:textId="77777777" w:rsidTr="00A94D32">
        <w:trPr>
          <w:trHeight w:val="419"/>
        </w:trPr>
        <w:tc>
          <w:tcPr>
            <w:tcW w:w="1550" w:type="dxa"/>
            <w:vMerge w:val="restart"/>
            <w:shd w:val="clear" w:color="auto" w:fill="7030A0"/>
          </w:tcPr>
          <w:p w14:paraId="16DA0F56" w14:textId="3495A37C" w:rsidR="00A94D32" w:rsidRDefault="00A94D32">
            <w:pPr>
              <w:pStyle w:val="TableParagraph"/>
              <w:spacing w:before="112" w:line="235" w:lineRule="auto"/>
              <w:ind w:right="558"/>
              <w:rPr>
                <w:sz w:val="16"/>
              </w:rPr>
            </w:pPr>
            <w:r>
              <w:rPr>
                <w:color w:val="FFFFFF"/>
                <w:sz w:val="16"/>
              </w:rPr>
              <w:t>Loan Purpose:</w:t>
            </w:r>
          </w:p>
        </w:tc>
        <w:tc>
          <w:tcPr>
            <w:tcW w:w="4137" w:type="dxa"/>
            <w:vMerge w:val="restart"/>
            <w:shd w:val="clear" w:color="auto" w:fill="ECEAEA"/>
          </w:tcPr>
          <w:p w14:paraId="468B20CC" w14:textId="3F1264F0" w:rsidR="00A94D32" w:rsidRPr="00C17CF8" w:rsidRDefault="00A94D32" w:rsidP="002829EC">
            <w:pPr>
              <w:pStyle w:val="TableParagraph"/>
              <w:spacing w:before="110" w:line="278" w:lineRule="auto"/>
              <w:ind w:right="-38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Purchase, refinance, debt consolidation, equity release, cash out. ATO Debts </w:t>
            </w:r>
            <w:r>
              <w:rPr>
                <w:color w:val="595959" w:themeColor="text1" w:themeTint="A6"/>
                <w:sz w:val="16"/>
              </w:rPr>
              <w:t xml:space="preserve">&amp; council rates arrears </w:t>
            </w:r>
            <w:r w:rsidRPr="00C17CF8">
              <w:rPr>
                <w:color w:val="595959" w:themeColor="text1" w:themeTint="A6"/>
                <w:sz w:val="16"/>
              </w:rPr>
              <w:t xml:space="preserve">can be repaid </w:t>
            </w:r>
            <w:r>
              <w:rPr>
                <w:color w:val="595959" w:themeColor="text1" w:themeTint="A6"/>
                <w:sz w:val="16"/>
              </w:rPr>
              <w:t>(</w:t>
            </w:r>
            <w:r w:rsidRPr="00C17CF8">
              <w:rPr>
                <w:color w:val="595959" w:themeColor="text1" w:themeTint="A6"/>
                <w:sz w:val="16"/>
              </w:rPr>
              <w:t>in full</w:t>
            </w:r>
            <w:r>
              <w:rPr>
                <w:color w:val="595959" w:themeColor="text1" w:themeTint="A6"/>
                <w:sz w:val="16"/>
              </w:rPr>
              <w:t>)</w:t>
            </w:r>
            <w:r w:rsidRPr="00C17CF8">
              <w:rPr>
                <w:color w:val="595959" w:themeColor="text1" w:themeTint="A6"/>
                <w:sz w:val="16"/>
              </w:rPr>
              <w:t xml:space="preserve"> </w:t>
            </w:r>
            <w:r>
              <w:rPr>
                <w:color w:val="595959" w:themeColor="text1" w:themeTint="A6"/>
                <w:sz w:val="16"/>
              </w:rPr>
              <w:t>with</w:t>
            </w:r>
            <w:r w:rsidRPr="00C17CF8">
              <w:rPr>
                <w:color w:val="595959" w:themeColor="text1" w:themeTint="A6"/>
                <w:sz w:val="16"/>
              </w:rPr>
              <w:t xml:space="preserve"> this product.</w:t>
            </w:r>
          </w:p>
        </w:tc>
        <w:tc>
          <w:tcPr>
            <w:tcW w:w="35" w:type="dxa"/>
            <w:vMerge w:val="restart"/>
          </w:tcPr>
          <w:p w14:paraId="627601AE" w14:textId="77777777" w:rsidR="00A94D32" w:rsidRDefault="00A94D32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shd w:val="clear" w:color="auto" w:fill="7030A0"/>
          </w:tcPr>
          <w:p w14:paraId="642B6CAA" w14:textId="77777777" w:rsidR="00A94D32" w:rsidRDefault="00A94D32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Credit History:</w:t>
            </w:r>
          </w:p>
        </w:tc>
        <w:tc>
          <w:tcPr>
            <w:tcW w:w="4071" w:type="dxa"/>
            <w:shd w:val="clear" w:color="auto" w:fill="ECEAEA"/>
          </w:tcPr>
          <w:p w14:paraId="70F4AAA5" w14:textId="58AB600A" w:rsidR="00A94D32" w:rsidRPr="00C17CF8" w:rsidRDefault="00A94D32" w:rsidP="00A92901">
            <w:pPr>
              <w:pStyle w:val="TableParagraph"/>
              <w:spacing w:after="120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Clean Credit required. Max 2 defaults with combined value &lt;$500 allowed.</w:t>
            </w:r>
          </w:p>
        </w:tc>
      </w:tr>
      <w:tr w:rsidR="00A94D32" w14:paraId="0BF21F7A" w14:textId="77777777" w:rsidTr="00A94D32">
        <w:trPr>
          <w:trHeight w:val="394"/>
        </w:trPr>
        <w:tc>
          <w:tcPr>
            <w:tcW w:w="1550" w:type="dxa"/>
            <w:vMerge/>
            <w:shd w:val="clear" w:color="auto" w:fill="7030A0"/>
          </w:tcPr>
          <w:p w14:paraId="354F939C" w14:textId="77777777" w:rsidR="00A94D32" w:rsidRDefault="00A94D32">
            <w:pPr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shd w:val="clear" w:color="auto" w:fill="ECEAEA"/>
          </w:tcPr>
          <w:p w14:paraId="48DE8ABC" w14:textId="77777777" w:rsidR="00A94D32" w:rsidRPr="00C17CF8" w:rsidRDefault="00A94D32">
            <w:pPr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35" w:type="dxa"/>
            <w:vMerge/>
          </w:tcPr>
          <w:p w14:paraId="1C7D1794" w14:textId="77777777" w:rsidR="00A94D32" w:rsidRDefault="00A94D32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05FE54F9" w14:textId="6E961EAB" w:rsidR="00A94D32" w:rsidRDefault="00A94D32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Application Fee:</w:t>
            </w:r>
          </w:p>
        </w:tc>
        <w:tc>
          <w:tcPr>
            <w:tcW w:w="4071" w:type="dxa"/>
            <w:shd w:val="clear" w:color="auto" w:fill="ECEAEA"/>
          </w:tcPr>
          <w:p w14:paraId="090E7D85" w14:textId="135C324D" w:rsidR="00A94D32" w:rsidRPr="00C17CF8" w:rsidRDefault="00A94D32" w:rsidP="00495E8B">
            <w:pPr>
              <w:pStyle w:val="TableParagraph"/>
              <w:spacing w:after="120"/>
              <w:rPr>
                <w:color w:val="595959" w:themeColor="text1" w:themeTint="A6"/>
                <w:sz w:val="16"/>
              </w:rPr>
            </w:pPr>
            <w:r w:rsidRPr="00BA0B5E">
              <w:rPr>
                <w:color w:val="404040" w:themeColor="text1" w:themeTint="BF"/>
                <w:sz w:val="16"/>
              </w:rPr>
              <w:t>1.</w:t>
            </w:r>
            <w:r>
              <w:rPr>
                <w:color w:val="404040" w:themeColor="text1" w:themeTint="BF"/>
                <w:sz w:val="16"/>
              </w:rPr>
              <w:t>40</w:t>
            </w:r>
            <w:r w:rsidRPr="00BA0B5E">
              <w:rPr>
                <w:color w:val="404040" w:themeColor="text1" w:themeTint="BF"/>
                <w:sz w:val="16"/>
              </w:rPr>
              <w:t xml:space="preserve">% of loan amount </w:t>
            </w:r>
            <w:r w:rsidRPr="00C17CF8">
              <w:rPr>
                <w:color w:val="595959" w:themeColor="text1" w:themeTint="A6"/>
                <w:sz w:val="16"/>
              </w:rPr>
              <w:t>(</w:t>
            </w:r>
            <w:r>
              <w:rPr>
                <w:color w:val="595959" w:themeColor="text1" w:themeTint="A6"/>
                <w:sz w:val="16"/>
              </w:rPr>
              <w:t>No</w:t>
            </w:r>
            <w:r w:rsidRPr="00C17CF8">
              <w:rPr>
                <w:color w:val="595959" w:themeColor="text1" w:themeTint="A6"/>
                <w:sz w:val="16"/>
              </w:rPr>
              <w:t xml:space="preserve"> Risk Fee).</w:t>
            </w:r>
            <w:r>
              <w:rPr>
                <w:color w:val="595959" w:themeColor="text1" w:themeTint="A6"/>
                <w:sz w:val="16"/>
              </w:rPr>
              <w:t xml:space="preserve">                     Payable at settlement.</w:t>
            </w:r>
          </w:p>
        </w:tc>
      </w:tr>
      <w:tr w:rsidR="00A94D32" w14:paraId="111130B4" w14:textId="77777777" w:rsidTr="00A94D32">
        <w:trPr>
          <w:trHeight w:val="445"/>
        </w:trPr>
        <w:tc>
          <w:tcPr>
            <w:tcW w:w="1550" w:type="dxa"/>
            <w:shd w:val="clear" w:color="auto" w:fill="7030A0"/>
          </w:tcPr>
          <w:p w14:paraId="62AE3BB9" w14:textId="1EDBD3EE" w:rsidR="00A94D32" w:rsidRPr="00B34699" w:rsidRDefault="00A94D32">
            <w:pPr>
              <w:pStyle w:val="TableParagraph"/>
              <w:rPr>
                <w:sz w:val="16"/>
              </w:rPr>
            </w:pPr>
            <w:r w:rsidRPr="00B34699">
              <w:rPr>
                <w:color w:val="FFFFFF"/>
                <w:sz w:val="16"/>
              </w:rPr>
              <w:t>Loan Amount:</w:t>
            </w:r>
          </w:p>
        </w:tc>
        <w:tc>
          <w:tcPr>
            <w:tcW w:w="4137" w:type="dxa"/>
            <w:shd w:val="clear" w:color="auto" w:fill="ECEAEA"/>
          </w:tcPr>
          <w:p w14:paraId="31CC1006" w14:textId="1D47CEF0" w:rsidR="00A94D32" w:rsidRPr="00C17CF8" w:rsidRDefault="00A94D32" w:rsidP="00054681">
            <w:pPr>
              <w:pStyle w:val="TableParagraph"/>
              <w:spacing w:line="278" w:lineRule="auto"/>
              <w:ind w:left="110" w:right="252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Min</w:t>
            </w:r>
            <w:proofErr w:type="gramStart"/>
            <w:r w:rsidRPr="00C17CF8">
              <w:rPr>
                <w:color w:val="595959" w:themeColor="text1" w:themeTint="A6"/>
                <w:sz w:val="16"/>
              </w:rPr>
              <w:t>:  $</w:t>
            </w:r>
            <w:proofErr w:type="gramEnd"/>
            <w:r>
              <w:rPr>
                <w:color w:val="595959" w:themeColor="text1" w:themeTint="A6"/>
                <w:sz w:val="16"/>
              </w:rPr>
              <w:t>10</w:t>
            </w:r>
            <w:r w:rsidRPr="00C17CF8">
              <w:rPr>
                <w:color w:val="595959" w:themeColor="text1" w:themeTint="A6"/>
                <w:sz w:val="16"/>
              </w:rPr>
              <w:t xml:space="preserve">0,000    </w:t>
            </w:r>
            <w:r>
              <w:rPr>
                <w:color w:val="595959" w:themeColor="text1" w:themeTint="A6"/>
                <w:sz w:val="16"/>
              </w:rPr>
              <w:t xml:space="preserve">                                                  </w:t>
            </w:r>
            <w:r w:rsidRPr="00C17CF8">
              <w:rPr>
                <w:color w:val="595959" w:themeColor="text1" w:themeTint="A6"/>
                <w:sz w:val="16"/>
              </w:rPr>
              <w:t xml:space="preserve"> Max: $</w:t>
            </w:r>
            <w:proofErr w:type="gramStart"/>
            <w:r>
              <w:rPr>
                <w:color w:val="595959" w:themeColor="text1" w:themeTint="A6"/>
                <w:sz w:val="16"/>
              </w:rPr>
              <w:t>2,5</w:t>
            </w:r>
            <w:r w:rsidRPr="00C17CF8">
              <w:rPr>
                <w:color w:val="595959" w:themeColor="text1" w:themeTint="A6"/>
                <w:sz w:val="16"/>
              </w:rPr>
              <w:t>00,000  (</w:t>
            </w:r>
            <w:proofErr w:type="gramEnd"/>
            <w:r>
              <w:rPr>
                <w:color w:val="595959" w:themeColor="text1" w:themeTint="A6"/>
                <w:sz w:val="16"/>
              </w:rPr>
              <w:t>75</w:t>
            </w:r>
            <w:r w:rsidRPr="00C17CF8">
              <w:rPr>
                <w:color w:val="595959" w:themeColor="text1" w:themeTint="A6"/>
                <w:sz w:val="16"/>
              </w:rPr>
              <w:t xml:space="preserve">% </w:t>
            </w:r>
            <w:proofErr w:type="gramStart"/>
            <w:r w:rsidRPr="00C17CF8">
              <w:rPr>
                <w:color w:val="595959" w:themeColor="text1" w:themeTint="A6"/>
                <w:sz w:val="16"/>
              </w:rPr>
              <w:t xml:space="preserve">LVR) </w:t>
            </w:r>
            <w:r>
              <w:rPr>
                <w:color w:val="595959" w:themeColor="text1" w:themeTint="A6"/>
                <w:sz w:val="16"/>
              </w:rPr>
              <w:t xml:space="preserve"> -</w:t>
            </w:r>
            <w:proofErr w:type="gramEnd"/>
            <w:r>
              <w:rPr>
                <w:color w:val="595959" w:themeColor="text1" w:themeTint="A6"/>
                <w:sz w:val="16"/>
              </w:rPr>
              <w:t xml:space="preserve"> Less than 100 acres </w:t>
            </w:r>
            <w:r w:rsidRPr="00C17CF8">
              <w:rPr>
                <w:color w:val="595959" w:themeColor="text1" w:themeTint="A6"/>
                <w:sz w:val="16"/>
              </w:rPr>
              <w:t>Max: $</w:t>
            </w:r>
            <w:proofErr w:type="gramStart"/>
            <w:r>
              <w:rPr>
                <w:color w:val="595959" w:themeColor="text1" w:themeTint="A6"/>
                <w:sz w:val="16"/>
              </w:rPr>
              <w:t>2,0</w:t>
            </w:r>
            <w:r w:rsidRPr="00C17CF8">
              <w:rPr>
                <w:color w:val="595959" w:themeColor="text1" w:themeTint="A6"/>
                <w:sz w:val="16"/>
              </w:rPr>
              <w:t>00,000  (</w:t>
            </w:r>
            <w:proofErr w:type="gramEnd"/>
            <w:r>
              <w:rPr>
                <w:color w:val="595959" w:themeColor="text1" w:themeTint="A6"/>
                <w:sz w:val="16"/>
              </w:rPr>
              <w:t>55</w:t>
            </w:r>
            <w:r w:rsidRPr="00C17CF8">
              <w:rPr>
                <w:color w:val="595959" w:themeColor="text1" w:themeTint="A6"/>
                <w:sz w:val="16"/>
              </w:rPr>
              <w:t xml:space="preserve">% </w:t>
            </w:r>
            <w:proofErr w:type="gramStart"/>
            <w:r w:rsidRPr="00C17CF8">
              <w:rPr>
                <w:color w:val="595959" w:themeColor="text1" w:themeTint="A6"/>
                <w:sz w:val="16"/>
              </w:rPr>
              <w:t xml:space="preserve">LVR) </w:t>
            </w:r>
            <w:r>
              <w:rPr>
                <w:color w:val="595959" w:themeColor="text1" w:themeTint="A6"/>
                <w:sz w:val="16"/>
              </w:rPr>
              <w:t xml:space="preserve"> -</w:t>
            </w:r>
            <w:proofErr w:type="gramEnd"/>
            <w:r>
              <w:rPr>
                <w:color w:val="595959" w:themeColor="text1" w:themeTint="A6"/>
                <w:sz w:val="16"/>
              </w:rPr>
              <w:t xml:space="preserve"> More than 100 acres                    </w:t>
            </w:r>
          </w:p>
          <w:p w14:paraId="51360F15" w14:textId="33365910" w:rsidR="00A94D32" w:rsidRPr="00C17CF8" w:rsidRDefault="00A94D32" w:rsidP="00054681">
            <w:pPr>
              <w:pStyle w:val="TableParagraph"/>
              <w:spacing w:line="278" w:lineRule="auto"/>
              <w:ind w:left="110" w:right="252"/>
              <w:rPr>
                <w:color w:val="595959" w:themeColor="text1" w:themeTint="A6"/>
                <w:sz w:val="16"/>
              </w:rPr>
            </w:pPr>
          </w:p>
        </w:tc>
        <w:tc>
          <w:tcPr>
            <w:tcW w:w="35" w:type="dxa"/>
            <w:vMerge/>
          </w:tcPr>
          <w:p w14:paraId="21ED8188" w14:textId="77777777" w:rsidR="00A94D32" w:rsidRDefault="00A94D32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2F8EFD46" w14:textId="77777777" w:rsidR="00A94D32" w:rsidRDefault="00A94D32">
            <w:pPr>
              <w:pStyle w:val="TableParagraph"/>
              <w:spacing w:before="134"/>
              <w:rPr>
                <w:sz w:val="16"/>
              </w:rPr>
            </w:pPr>
            <w:r>
              <w:rPr>
                <w:color w:val="FFFFFF"/>
                <w:sz w:val="16"/>
              </w:rPr>
              <w:t>Legal Fees:</w:t>
            </w:r>
          </w:p>
        </w:tc>
        <w:tc>
          <w:tcPr>
            <w:tcW w:w="4071" w:type="dxa"/>
            <w:shd w:val="clear" w:color="auto" w:fill="ECEAEA"/>
          </w:tcPr>
          <w:p w14:paraId="1B97291E" w14:textId="08F5900F" w:rsidR="00A94D32" w:rsidRPr="00C17CF8" w:rsidRDefault="00A94D32" w:rsidP="00EE17F9">
            <w:pPr>
              <w:pStyle w:val="TableParagraph"/>
              <w:spacing w:before="134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 xml:space="preserve">From </w:t>
            </w:r>
            <w:r w:rsidRPr="00C17CF8">
              <w:rPr>
                <w:color w:val="595959" w:themeColor="text1" w:themeTint="A6"/>
                <w:sz w:val="16"/>
              </w:rPr>
              <w:t xml:space="preserve">$880 – Individual borrowers. </w:t>
            </w:r>
            <w:r>
              <w:rPr>
                <w:color w:val="595959" w:themeColor="text1" w:themeTint="A6"/>
                <w:sz w:val="16"/>
              </w:rPr>
              <w:t xml:space="preserve">                       </w:t>
            </w:r>
            <w:r w:rsidRPr="00C17CF8">
              <w:rPr>
                <w:color w:val="595959" w:themeColor="text1" w:themeTint="A6"/>
                <w:sz w:val="16"/>
              </w:rPr>
              <w:t>Higher fees apply to different structures.</w:t>
            </w:r>
            <w:r>
              <w:rPr>
                <w:color w:val="595959" w:themeColor="text1" w:themeTint="A6"/>
                <w:sz w:val="16"/>
              </w:rPr>
              <w:t xml:space="preserve">                </w:t>
            </w:r>
            <w:r w:rsidRPr="00C17CF8">
              <w:rPr>
                <w:color w:val="595959" w:themeColor="text1" w:themeTint="A6"/>
                <w:sz w:val="16"/>
              </w:rPr>
              <w:t xml:space="preserve"> Allow min $2,000 +GST for Company / Trusts.                             </w:t>
            </w:r>
          </w:p>
        </w:tc>
      </w:tr>
      <w:tr w:rsidR="00A94D32" w14:paraId="1E945432" w14:textId="77777777" w:rsidTr="00A94D32">
        <w:trPr>
          <w:trHeight w:val="252"/>
        </w:trPr>
        <w:tc>
          <w:tcPr>
            <w:tcW w:w="1550" w:type="dxa"/>
            <w:shd w:val="clear" w:color="auto" w:fill="7030A0"/>
          </w:tcPr>
          <w:p w14:paraId="31C34491" w14:textId="214CB2F7" w:rsidR="00A94D32" w:rsidRPr="00EE17F9" w:rsidRDefault="00A94D32" w:rsidP="004B01AF">
            <w:pPr>
              <w:pStyle w:val="TableParagraph"/>
              <w:rPr>
                <w:b/>
                <w:bCs/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Loan Requirements:</w:t>
            </w:r>
          </w:p>
        </w:tc>
        <w:tc>
          <w:tcPr>
            <w:tcW w:w="4137" w:type="dxa"/>
            <w:shd w:val="clear" w:color="auto" w:fill="ECEAEA"/>
          </w:tcPr>
          <w:p w14:paraId="2B2A32F0" w14:textId="26C29784" w:rsidR="00A94D32" w:rsidRPr="00C17CF8" w:rsidRDefault="00A94D32" w:rsidP="004B01AF">
            <w:pPr>
              <w:pStyle w:val="TableParagraph"/>
              <w:spacing w:after="120" w:line="278" w:lineRule="auto"/>
              <w:ind w:left="110" w:right="252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Accountants Declaration (on letterhead) or 12 months BAS </w:t>
            </w:r>
            <w:r>
              <w:rPr>
                <w:color w:val="595959" w:themeColor="text1" w:themeTint="A6"/>
                <w:sz w:val="16"/>
              </w:rPr>
              <w:t>or Standard Full Doc requirements.</w:t>
            </w:r>
          </w:p>
        </w:tc>
        <w:tc>
          <w:tcPr>
            <w:tcW w:w="35" w:type="dxa"/>
            <w:vMerge/>
          </w:tcPr>
          <w:p w14:paraId="0CF0E6E0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10D5D002" w14:textId="5279972D" w:rsidR="00A94D32" w:rsidRDefault="00A94D32" w:rsidP="004B01AF">
            <w:pPr>
              <w:pStyle w:val="TableParagraph"/>
              <w:spacing w:before="134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Valuation Fee:</w:t>
            </w:r>
          </w:p>
        </w:tc>
        <w:tc>
          <w:tcPr>
            <w:tcW w:w="4071" w:type="dxa"/>
            <w:shd w:val="clear" w:color="auto" w:fill="ECEAEA"/>
          </w:tcPr>
          <w:p w14:paraId="75998BC7" w14:textId="3D6C6864" w:rsidR="00A94D32" w:rsidRPr="00C17CF8" w:rsidRDefault="00A94D32" w:rsidP="004B01AF">
            <w:pPr>
              <w:pStyle w:val="TableParagraph"/>
              <w:spacing w:before="134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Quotation required – charged at cost which may include travel time.</w:t>
            </w:r>
          </w:p>
        </w:tc>
      </w:tr>
      <w:tr w:rsidR="00A94D32" w14:paraId="10C53029" w14:textId="77777777" w:rsidTr="00A94D32">
        <w:trPr>
          <w:trHeight w:val="243"/>
        </w:trPr>
        <w:tc>
          <w:tcPr>
            <w:tcW w:w="1550" w:type="dxa"/>
            <w:shd w:val="clear" w:color="auto" w:fill="7030A0"/>
          </w:tcPr>
          <w:p w14:paraId="3140084A" w14:textId="77777777" w:rsidR="00A94D32" w:rsidRDefault="00A94D32" w:rsidP="004B01AF">
            <w:pPr>
              <w:pStyle w:val="TableParagraph"/>
              <w:spacing w:before="112" w:line="235" w:lineRule="auto"/>
              <w:ind w:right="424"/>
              <w:rPr>
                <w:sz w:val="16"/>
              </w:rPr>
            </w:pPr>
            <w:r>
              <w:rPr>
                <w:color w:val="FFFFFF"/>
                <w:sz w:val="16"/>
              </w:rPr>
              <w:t>Loan to Value Ratio:</w:t>
            </w:r>
          </w:p>
        </w:tc>
        <w:tc>
          <w:tcPr>
            <w:tcW w:w="4137" w:type="dxa"/>
            <w:shd w:val="clear" w:color="auto" w:fill="ECEAEA"/>
          </w:tcPr>
          <w:p w14:paraId="008ADF78" w14:textId="383692FA" w:rsidR="00A94D32" w:rsidRPr="00C17CF8" w:rsidRDefault="00A94D32" w:rsidP="004B01AF">
            <w:pPr>
              <w:pStyle w:val="TableParagraph"/>
              <w:spacing w:before="110" w:line="278" w:lineRule="auto"/>
              <w:ind w:right="580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80% maximum LVR.                                  </w:t>
            </w:r>
            <w:r>
              <w:rPr>
                <w:color w:val="595959" w:themeColor="text1" w:themeTint="A6"/>
                <w:sz w:val="16"/>
              </w:rPr>
              <w:t xml:space="preserve">     </w:t>
            </w:r>
            <w:r w:rsidRPr="00C17CF8">
              <w:rPr>
                <w:color w:val="595959" w:themeColor="text1" w:themeTint="A6"/>
                <w:sz w:val="16"/>
              </w:rPr>
              <w:t>Non-gen savings accepted.</w:t>
            </w:r>
          </w:p>
        </w:tc>
        <w:tc>
          <w:tcPr>
            <w:tcW w:w="35" w:type="dxa"/>
            <w:vMerge/>
          </w:tcPr>
          <w:p w14:paraId="6AABB73D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655878C5" w14:textId="77777777" w:rsidR="00A94D32" w:rsidRDefault="00A94D32" w:rsidP="004B01AF">
            <w:pPr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 xml:space="preserve"> </w:t>
            </w:r>
          </w:p>
          <w:p w14:paraId="58A1854A" w14:textId="0E1E0A71" w:rsidR="00A94D32" w:rsidRDefault="00A94D32" w:rsidP="004B01AF">
            <w:pPr>
              <w:rPr>
                <w:sz w:val="2"/>
                <w:szCs w:val="2"/>
              </w:rPr>
            </w:pPr>
            <w:r>
              <w:rPr>
                <w:color w:val="FFFFFF"/>
                <w:sz w:val="16"/>
              </w:rPr>
              <w:t xml:space="preserve">  Title Insurance:</w:t>
            </w:r>
          </w:p>
        </w:tc>
        <w:tc>
          <w:tcPr>
            <w:tcW w:w="4071" w:type="dxa"/>
            <w:shd w:val="clear" w:color="auto" w:fill="ECEAEA"/>
          </w:tcPr>
          <w:p w14:paraId="1378A5C3" w14:textId="77777777" w:rsidR="00A94D32" w:rsidRPr="00C17CF8" w:rsidRDefault="00A94D32" w:rsidP="004B01AF">
            <w:pPr>
              <w:ind w:left="131" w:hanging="131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  </w:t>
            </w:r>
          </w:p>
          <w:p w14:paraId="47833CED" w14:textId="0480E175" w:rsidR="00A94D32" w:rsidRPr="00C17CF8" w:rsidRDefault="00A94D32" w:rsidP="004B01AF">
            <w:pPr>
              <w:ind w:left="131" w:hanging="131"/>
              <w:rPr>
                <w:color w:val="595959" w:themeColor="text1" w:themeTint="A6"/>
                <w:sz w:val="16"/>
                <w:szCs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   </w:t>
            </w:r>
            <w:r w:rsidRPr="00A4192B">
              <w:rPr>
                <w:color w:val="595959" w:themeColor="text1" w:themeTint="A6"/>
                <w:sz w:val="16"/>
              </w:rPr>
              <w:t>$145 Loans to $600k; $260 if &gt;$600k</w:t>
            </w:r>
          </w:p>
        </w:tc>
      </w:tr>
      <w:tr w:rsidR="00A94D32" w14:paraId="5022CA36" w14:textId="77777777" w:rsidTr="00A94D32">
        <w:trPr>
          <w:trHeight w:val="370"/>
        </w:trPr>
        <w:tc>
          <w:tcPr>
            <w:tcW w:w="1550" w:type="dxa"/>
            <w:shd w:val="clear" w:color="auto" w:fill="7030A0"/>
          </w:tcPr>
          <w:p w14:paraId="40458121" w14:textId="77777777" w:rsidR="00A94D32" w:rsidRDefault="00A94D32" w:rsidP="004B01AF">
            <w:pPr>
              <w:rPr>
                <w:sz w:val="16"/>
                <w:szCs w:val="16"/>
              </w:rPr>
            </w:pPr>
          </w:p>
          <w:p w14:paraId="77D5431F" w14:textId="3AF15E9A" w:rsidR="00A94D32" w:rsidRPr="00CD435A" w:rsidRDefault="00A94D32" w:rsidP="004B0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CD435A">
              <w:rPr>
                <w:color w:val="FFFFFF" w:themeColor="background1"/>
                <w:sz w:val="16"/>
                <w:szCs w:val="16"/>
              </w:rPr>
              <w:t>ABN | GST:</w:t>
            </w:r>
          </w:p>
        </w:tc>
        <w:tc>
          <w:tcPr>
            <w:tcW w:w="4137" w:type="dxa"/>
            <w:shd w:val="clear" w:color="auto" w:fill="ECEAEA"/>
          </w:tcPr>
          <w:p w14:paraId="19E258DD" w14:textId="77777777" w:rsidR="00A94D32" w:rsidRPr="00C17CF8" w:rsidRDefault="00A94D32" w:rsidP="004B01AF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4B7CFF3C" w14:textId="1CC59537" w:rsidR="00A94D32" w:rsidRPr="00C17CF8" w:rsidRDefault="00A94D32" w:rsidP="004B01AF">
            <w:pPr>
              <w:spacing w:after="120"/>
              <w:ind w:left="166" w:hanging="142"/>
              <w:rPr>
                <w:color w:val="595959" w:themeColor="text1" w:themeTint="A6"/>
                <w:sz w:val="16"/>
                <w:szCs w:val="16"/>
              </w:rPr>
            </w:pPr>
            <w:r w:rsidRPr="00C17CF8">
              <w:rPr>
                <w:color w:val="595959" w:themeColor="text1" w:themeTint="A6"/>
                <w:sz w:val="16"/>
                <w:szCs w:val="16"/>
              </w:rPr>
              <w:t xml:space="preserve">  Min. 24 mths ABN &amp; GST as required.           Accountants Declaration or </w:t>
            </w:r>
            <w:r>
              <w:rPr>
                <w:color w:val="595959" w:themeColor="text1" w:themeTint="A6"/>
                <w:sz w:val="16"/>
                <w:szCs w:val="16"/>
              </w:rPr>
              <w:t>12</w:t>
            </w:r>
            <w:r w:rsidRPr="00C17CF8">
              <w:rPr>
                <w:color w:val="595959" w:themeColor="text1" w:themeTint="A6"/>
                <w:sz w:val="16"/>
                <w:szCs w:val="16"/>
              </w:rPr>
              <w:t xml:space="preserve"> mths BAS required.</w:t>
            </w:r>
          </w:p>
        </w:tc>
        <w:tc>
          <w:tcPr>
            <w:tcW w:w="35" w:type="dxa"/>
            <w:vMerge/>
          </w:tcPr>
          <w:p w14:paraId="15588E1F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0150EF44" w14:textId="70AE5853" w:rsidR="00A94D32" w:rsidRDefault="00A94D32" w:rsidP="004B01AF">
            <w:pPr>
              <w:pStyle w:val="TableParagraph"/>
              <w:spacing w:before="120"/>
              <w:rPr>
                <w:sz w:val="16"/>
              </w:rPr>
            </w:pPr>
            <w:r>
              <w:rPr>
                <w:color w:val="FFFFFF"/>
                <w:sz w:val="16"/>
              </w:rPr>
              <w:t>Risk Fee:</w:t>
            </w:r>
          </w:p>
        </w:tc>
        <w:tc>
          <w:tcPr>
            <w:tcW w:w="4071" w:type="dxa"/>
            <w:shd w:val="clear" w:color="auto" w:fill="ECEAEA"/>
          </w:tcPr>
          <w:p w14:paraId="72916D80" w14:textId="2CA4F8BD" w:rsidR="00A94D32" w:rsidRPr="00C17CF8" w:rsidRDefault="00A94D32" w:rsidP="004B01AF">
            <w:pPr>
              <w:pStyle w:val="TableParagraph"/>
              <w:spacing w:before="120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Not Applicable (i</w:t>
            </w:r>
            <w:r w:rsidRPr="00C17CF8">
              <w:rPr>
                <w:color w:val="595959" w:themeColor="text1" w:themeTint="A6"/>
                <w:sz w:val="16"/>
              </w:rPr>
              <w:t>ncluded in the application fee</w:t>
            </w:r>
            <w:r>
              <w:rPr>
                <w:color w:val="595959" w:themeColor="text1" w:themeTint="A6"/>
                <w:sz w:val="16"/>
              </w:rPr>
              <w:t>)</w:t>
            </w:r>
            <w:r w:rsidRPr="00C17CF8">
              <w:rPr>
                <w:color w:val="595959" w:themeColor="text1" w:themeTint="A6"/>
                <w:sz w:val="16"/>
              </w:rPr>
              <w:t xml:space="preserve">. </w:t>
            </w:r>
          </w:p>
        </w:tc>
      </w:tr>
      <w:tr w:rsidR="00A94D32" w14:paraId="21975C54" w14:textId="77777777" w:rsidTr="00A94D32">
        <w:trPr>
          <w:trHeight w:val="420"/>
        </w:trPr>
        <w:tc>
          <w:tcPr>
            <w:tcW w:w="1550" w:type="dxa"/>
            <w:shd w:val="clear" w:color="auto" w:fill="7030A0"/>
          </w:tcPr>
          <w:p w14:paraId="61B461D7" w14:textId="77777777" w:rsidR="00A94D32" w:rsidRDefault="00A94D32" w:rsidP="004B01AF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Term:</w:t>
            </w:r>
          </w:p>
        </w:tc>
        <w:tc>
          <w:tcPr>
            <w:tcW w:w="4137" w:type="dxa"/>
            <w:shd w:val="clear" w:color="auto" w:fill="ECEAEA"/>
          </w:tcPr>
          <w:p w14:paraId="601A6858" w14:textId="34CFD095" w:rsidR="00A94D32" w:rsidRPr="00C17CF8" w:rsidRDefault="00A94D32" w:rsidP="004B01AF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Up to 30 years</w:t>
            </w:r>
            <w:r>
              <w:rPr>
                <w:color w:val="595959" w:themeColor="text1" w:themeTint="A6"/>
                <w:sz w:val="16"/>
              </w:rPr>
              <w:t xml:space="preserve"> (Residential to 100 acres)</w:t>
            </w:r>
            <w:r w:rsidRPr="00C17CF8">
              <w:rPr>
                <w:color w:val="595959" w:themeColor="text1" w:themeTint="A6"/>
                <w:sz w:val="16"/>
              </w:rPr>
              <w:t xml:space="preserve">. </w:t>
            </w:r>
            <w:r>
              <w:rPr>
                <w:color w:val="595959" w:themeColor="text1" w:themeTint="A6"/>
                <w:sz w:val="16"/>
              </w:rPr>
              <w:t xml:space="preserve">                             1 to 5 years (Commercial &gt;100 acres)</w:t>
            </w:r>
          </w:p>
        </w:tc>
        <w:tc>
          <w:tcPr>
            <w:tcW w:w="35" w:type="dxa"/>
            <w:vMerge/>
          </w:tcPr>
          <w:p w14:paraId="7021DFBE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5E916BD1" w14:textId="535A3658" w:rsidR="00A94D32" w:rsidRDefault="00A94D32" w:rsidP="004B01AF">
            <w:pPr>
              <w:pStyle w:val="TableParagraph"/>
              <w:spacing w:before="158"/>
              <w:rPr>
                <w:sz w:val="16"/>
              </w:rPr>
            </w:pPr>
            <w:r>
              <w:rPr>
                <w:color w:val="FFFFFF"/>
                <w:sz w:val="16"/>
              </w:rPr>
              <w:t>LMI:</w:t>
            </w:r>
          </w:p>
        </w:tc>
        <w:tc>
          <w:tcPr>
            <w:tcW w:w="4071" w:type="dxa"/>
            <w:shd w:val="clear" w:color="auto" w:fill="ECEAEA"/>
          </w:tcPr>
          <w:p w14:paraId="79CF525B" w14:textId="38F9E355" w:rsidR="00A94D32" w:rsidRPr="00C17CF8" w:rsidRDefault="00A94D32" w:rsidP="004B01AF">
            <w:pPr>
              <w:pStyle w:val="TableParagraph"/>
              <w:spacing w:before="158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 xml:space="preserve">Lenders Mortgage Insurance is </w:t>
            </w:r>
            <w:r w:rsidRPr="00C17CF8">
              <w:rPr>
                <w:color w:val="595959" w:themeColor="text1" w:themeTint="A6"/>
                <w:sz w:val="16"/>
              </w:rPr>
              <w:t>Not Applicable.</w:t>
            </w:r>
          </w:p>
        </w:tc>
      </w:tr>
      <w:tr w:rsidR="00A94D32" w14:paraId="269D7D49" w14:textId="77777777" w:rsidTr="00A94D32">
        <w:trPr>
          <w:trHeight w:val="420"/>
        </w:trPr>
        <w:tc>
          <w:tcPr>
            <w:tcW w:w="1550" w:type="dxa"/>
            <w:shd w:val="clear" w:color="auto" w:fill="7030A0"/>
          </w:tcPr>
          <w:p w14:paraId="29626CF4" w14:textId="709F2E1B" w:rsidR="00A94D32" w:rsidRDefault="00A94D32" w:rsidP="00A92901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Interest Rate Type:</w:t>
            </w:r>
          </w:p>
        </w:tc>
        <w:tc>
          <w:tcPr>
            <w:tcW w:w="4137" w:type="dxa"/>
            <w:shd w:val="clear" w:color="auto" w:fill="ECEAEA"/>
          </w:tcPr>
          <w:p w14:paraId="3FFAA787" w14:textId="57D5F297" w:rsidR="00A94D32" w:rsidRPr="00C17CF8" w:rsidRDefault="00A94D32" w:rsidP="004B01AF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Variable rates available. </w:t>
            </w:r>
          </w:p>
        </w:tc>
        <w:tc>
          <w:tcPr>
            <w:tcW w:w="35" w:type="dxa"/>
            <w:vMerge/>
          </w:tcPr>
          <w:p w14:paraId="0DF9CC8C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4328DCEB" w14:textId="41FCE7F4" w:rsidR="00A94D32" w:rsidRDefault="00A94D32" w:rsidP="00A92901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Settlement Fee:</w:t>
            </w:r>
          </w:p>
        </w:tc>
        <w:tc>
          <w:tcPr>
            <w:tcW w:w="4071" w:type="dxa"/>
            <w:shd w:val="clear" w:color="auto" w:fill="ECEAEA"/>
          </w:tcPr>
          <w:p w14:paraId="11AFF6D8" w14:textId="2F35FE72" w:rsidR="00A94D32" w:rsidRPr="00C17CF8" w:rsidRDefault="00A94D32" w:rsidP="00A92901">
            <w:pPr>
              <w:pStyle w:val="TableParagraph"/>
              <w:spacing w:before="120" w:after="120"/>
              <w:rPr>
                <w:color w:val="595959" w:themeColor="text1" w:themeTint="A6"/>
                <w:sz w:val="16"/>
              </w:rPr>
            </w:pPr>
            <w:r w:rsidRPr="00017A2A">
              <w:rPr>
                <w:color w:val="404040" w:themeColor="text1" w:themeTint="BF"/>
                <w:sz w:val="16"/>
              </w:rPr>
              <w:t xml:space="preserve">From $500 plus disbursements, including   </w:t>
            </w:r>
            <w:proofErr w:type="gramStart"/>
            <w:r w:rsidRPr="00017A2A">
              <w:rPr>
                <w:color w:val="404040" w:themeColor="text1" w:themeTint="BF"/>
                <w:sz w:val="16"/>
              </w:rPr>
              <w:t>Electronic</w:t>
            </w:r>
            <w:proofErr w:type="gramEnd"/>
            <w:r w:rsidRPr="00017A2A">
              <w:rPr>
                <w:color w:val="404040" w:themeColor="text1" w:themeTint="BF"/>
                <w:sz w:val="16"/>
              </w:rPr>
              <w:t xml:space="preserve"> lodgements (PEXA). Varies with circumstances.</w:t>
            </w:r>
          </w:p>
        </w:tc>
      </w:tr>
      <w:tr w:rsidR="00321342" w14:paraId="27567090" w14:textId="77777777" w:rsidTr="00A94D32">
        <w:trPr>
          <w:trHeight w:val="420"/>
        </w:trPr>
        <w:tc>
          <w:tcPr>
            <w:tcW w:w="1550" w:type="dxa"/>
            <w:shd w:val="clear" w:color="auto" w:fill="7030A0"/>
          </w:tcPr>
          <w:p w14:paraId="7DF74ED4" w14:textId="2EA3ED3C" w:rsidR="00321342" w:rsidRDefault="00321342" w:rsidP="00A92901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Repayments:</w:t>
            </w:r>
          </w:p>
        </w:tc>
        <w:tc>
          <w:tcPr>
            <w:tcW w:w="4137" w:type="dxa"/>
            <w:shd w:val="clear" w:color="auto" w:fill="ECEAEA"/>
          </w:tcPr>
          <w:p w14:paraId="13982869" w14:textId="5DD5D80E" w:rsidR="00321342" w:rsidRPr="00C17CF8" w:rsidRDefault="00321342" w:rsidP="004B01AF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A4192B">
              <w:rPr>
                <w:color w:val="595959" w:themeColor="text1" w:themeTint="A6"/>
                <w:sz w:val="16"/>
              </w:rPr>
              <w:t>Principal &amp; Interest</w:t>
            </w:r>
            <w:r>
              <w:rPr>
                <w:color w:val="595959" w:themeColor="text1" w:themeTint="A6"/>
                <w:sz w:val="16"/>
              </w:rPr>
              <w:t xml:space="preserve"> or Interest Only</w:t>
            </w:r>
            <w:r w:rsidRPr="00A4192B">
              <w:rPr>
                <w:color w:val="595959" w:themeColor="text1" w:themeTint="A6"/>
                <w:sz w:val="16"/>
              </w:rPr>
              <w:t xml:space="preserve">. Int Only can be </w:t>
            </w:r>
            <w:proofErr w:type="gramStart"/>
            <w:r w:rsidRPr="00A4192B">
              <w:rPr>
                <w:color w:val="595959" w:themeColor="text1" w:themeTint="A6"/>
                <w:sz w:val="16"/>
              </w:rPr>
              <w:t>considered</w:t>
            </w:r>
            <w:proofErr w:type="gramEnd"/>
            <w:r w:rsidRPr="00A4192B">
              <w:rPr>
                <w:color w:val="595959" w:themeColor="text1" w:themeTint="A6"/>
                <w:sz w:val="16"/>
              </w:rPr>
              <w:t xml:space="preserve"> up to 5 years (rate loading applies</w:t>
            </w:r>
            <w:r>
              <w:rPr>
                <w:color w:val="595959" w:themeColor="text1" w:themeTint="A6"/>
                <w:sz w:val="16"/>
              </w:rPr>
              <w:t>).</w:t>
            </w:r>
            <w:r w:rsidRPr="00A4192B">
              <w:rPr>
                <w:color w:val="595959" w:themeColor="text1" w:themeTint="A6"/>
                <w:sz w:val="16"/>
              </w:rPr>
              <w:t xml:space="preserve">                                 </w:t>
            </w:r>
          </w:p>
        </w:tc>
        <w:tc>
          <w:tcPr>
            <w:tcW w:w="35" w:type="dxa"/>
            <w:vMerge/>
          </w:tcPr>
          <w:p w14:paraId="4F52EE54" w14:textId="77777777" w:rsidR="00321342" w:rsidRDefault="0032134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3B8DF078" w14:textId="36F86EA6" w:rsidR="00321342" w:rsidRDefault="00321342" w:rsidP="00A92901">
            <w:pPr>
              <w:pStyle w:val="TableParagraph"/>
              <w:spacing w:before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Monthly Fee:</w:t>
            </w:r>
          </w:p>
        </w:tc>
        <w:tc>
          <w:tcPr>
            <w:tcW w:w="4071" w:type="dxa"/>
            <w:shd w:val="clear" w:color="auto" w:fill="ECEAEA"/>
          </w:tcPr>
          <w:p w14:paraId="4F4F1145" w14:textId="378FDC01" w:rsidR="00321342" w:rsidRPr="00017A2A" w:rsidRDefault="00321342" w:rsidP="00A92901">
            <w:pPr>
              <w:pStyle w:val="TableParagraph"/>
              <w:spacing w:before="120" w:after="120"/>
              <w:rPr>
                <w:color w:val="404040" w:themeColor="text1" w:themeTint="BF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$15pm per split.</w:t>
            </w:r>
          </w:p>
        </w:tc>
      </w:tr>
      <w:tr w:rsidR="00A94D32" w14:paraId="136BD74D" w14:textId="77777777" w:rsidTr="00A94D32">
        <w:trPr>
          <w:trHeight w:val="293"/>
        </w:trPr>
        <w:tc>
          <w:tcPr>
            <w:tcW w:w="1550" w:type="dxa"/>
            <w:vMerge w:val="restart"/>
            <w:shd w:val="clear" w:color="auto" w:fill="7030A0"/>
          </w:tcPr>
          <w:p w14:paraId="79E0A5F9" w14:textId="593AF267" w:rsidR="00A94D32" w:rsidRDefault="00A94D32" w:rsidP="003265C9">
            <w:pPr>
              <w:pStyle w:val="TableParagraph"/>
              <w:spacing w:after="100"/>
              <w:rPr>
                <w:sz w:val="16"/>
              </w:rPr>
            </w:pPr>
            <w:r>
              <w:rPr>
                <w:color w:val="FFFFFF"/>
                <w:sz w:val="16"/>
              </w:rPr>
              <w:t>Extra Repayments:</w:t>
            </w:r>
          </w:p>
        </w:tc>
        <w:tc>
          <w:tcPr>
            <w:tcW w:w="4137" w:type="dxa"/>
            <w:vMerge w:val="restart"/>
            <w:shd w:val="clear" w:color="auto" w:fill="ECEAEA"/>
          </w:tcPr>
          <w:p w14:paraId="1BC1B3A9" w14:textId="1D1DBCE5" w:rsidR="00A94D32" w:rsidRPr="00C17CF8" w:rsidRDefault="00A94D32" w:rsidP="003265C9">
            <w:pPr>
              <w:pStyle w:val="TableParagraph"/>
              <w:tabs>
                <w:tab w:val="left" w:pos="232"/>
              </w:tabs>
              <w:spacing w:before="111" w:after="100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Additional repayments to $10,000 pm may be made at any time without penalty. </w:t>
            </w:r>
            <w:r>
              <w:rPr>
                <w:color w:val="595959" w:themeColor="text1" w:themeTint="A6"/>
                <w:sz w:val="16"/>
              </w:rPr>
              <w:t xml:space="preserve">                                          </w:t>
            </w:r>
            <w:r w:rsidRPr="00C17CF8">
              <w:rPr>
                <w:color w:val="595959" w:themeColor="text1" w:themeTint="A6"/>
                <w:sz w:val="16"/>
              </w:rPr>
              <w:t>Early Termination Fee (ETF) applies to principal reductions for Company / Corporate Trustee borrowers.</w:t>
            </w:r>
          </w:p>
        </w:tc>
        <w:tc>
          <w:tcPr>
            <w:tcW w:w="35" w:type="dxa"/>
            <w:vMerge/>
          </w:tcPr>
          <w:p w14:paraId="71161330" w14:textId="77777777" w:rsidR="00A94D32" w:rsidRDefault="00A94D32" w:rsidP="003265C9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76EB0C80" w14:textId="3D4AA7B9" w:rsidR="00A94D32" w:rsidRPr="00BA1B08" w:rsidRDefault="00A94D32" w:rsidP="003265C9">
            <w:pPr>
              <w:spacing w:before="120" w:after="100"/>
              <w:rPr>
                <w:sz w:val="16"/>
                <w:szCs w:val="16"/>
              </w:rPr>
            </w:pPr>
            <w:r>
              <w:rPr>
                <w:color w:val="FFFFFF"/>
                <w:sz w:val="16"/>
              </w:rPr>
              <w:t xml:space="preserve">  Annual Fee:</w:t>
            </w:r>
          </w:p>
        </w:tc>
        <w:tc>
          <w:tcPr>
            <w:tcW w:w="4071" w:type="dxa"/>
            <w:shd w:val="clear" w:color="auto" w:fill="ECEAEA"/>
          </w:tcPr>
          <w:p w14:paraId="324B7247" w14:textId="3D63A0BE" w:rsidR="00A94D32" w:rsidRPr="00C17CF8" w:rsidRDefault="00A94D32" w:rsidP="003265C9">
            <w:pPr>
              <w:spacing w:before="120" w:after="100"/>
              <w:rPr>
                <w:color w:val="595959" w:themeColor="text1" w:themeTint="A6"/>
                <w:sz w:val="16"/>
                <w:szCs w:val="16"/>
              </w:rPr>
            </w:pPr>
            <w:r w:rsidRPr="00C17CF8">
              <w:rPr>
                <w:color w:val="595959" w:themeColor="text1" w:themeTint="A6"/>
                <w:sz w:val="16"/>
                <w:szCs w:val="16"/>
              </w:rPr>
              <w:t xml:space="preserve">    </w:t>
            </w:r>
            <w:r w:rsidRPr="00C17CF8">
              <w:rPr>
                <w:color w:val="595959" w:themeColor="text1" w:themeTint="A6"/>
                <w:sz w:val="16"/>
              </w:rPr>
              <w:t>$Nil.</w:t>
            </w:r>
          </w:p>
        </w:tc>
      </w:tr>
      <w:tr w:rsidR="00A94D32" w14:paraId="5D0EA565" w14:textId="77777777" w:rsidTr="00A94D32">
        <w:trPr>
          <w:trHeight w:val="407"/>
        </w:trPr>
        <w:tc>
          <w:tcPr>
            <w:tcW w:w="1550" w:type="dxa"/>
            <w:vMerge/>
            <w:shd w:val="clear" w:color="auto" w:fill="7030A0"/>
          </w:tcPr>
          <w:p w14:paraId="2B2F5FB8" w14:textId="77777777" w:rsidR="00A94D32" w:rsidRDefault="00A94D32" w:rsidP="003265C9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shd w:val="clear" w:color="auto" w:fill="ECEAEA"/>
          </w:tcPr>
          <w:p w14:paraId="5377D8E7" w14:textId="77777777" w:rsidR="00A94D32" w:rsidRPr="00C17CF8" w:rsidRDefault="00A94D32" w:rsidP="003265C9">
            <w:pPr>
              <w:spacing w:after="100"/>
              <w:rPr>
                <w:color w:val="595959" w:themeColor="text1" w:themeTint="A6"/>
                <w:sz w:val="2"/>
                <w:szCs w:val="2"/>
              </w:rPr>
            </w:pPr>
          </w:p>
        </w:tc>
        <w:tc>
          <w:tcPr>
            <w:tcW w:w="35" w:type="dxa"/>
            <w:vMerge/>
          </w:tcPr>
          <w:p w14:paraId="37C90590" w14:textId="77777777" w:rsidR="00A94D32" w:rsidRDefault="00A94D32" w:rsidP="003265C9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35E73184" w14:textId="5F611BDE" w:rsidR="00A94D32" w:rsidRDefault="00A94D32" w:rsidP="003265C9">
            <w:pPr>
              <w:pStyle w:val="TableParagraph"/>
              <w:spacing w:after="100"/>
              <w:rPr>
                <w:sz w:val="16"/>
              </w:rPr>
            </w:pPr>
            <w:r>
              <w:rPr>
                <w:color w:val="FFFFFF"/>
                <w:sz w:val="16"/>
              </w:rPr>
              <w:t>Annual Reviews:</w:t>
            </w:r>
          </w:p>
        </w:tc>
        <w:tc>
          <w:tcPr>
            <w:tcW w:w="4071" w:type="dxa"/>
            <w:shd w:val="clear" w:color="auto" w:fill="ECEAEA"/>
          </w:tcPr>
          <w:p w14:paraId="01636462" w14:textId="100984A1" w:rsidR="00A94D32" w:rsidRPr="00C17CF8" w:rsidRDefault="00A94D32" w:rsidP="003265C9">
            <w:pPr>
              <w:pStyle w:val="TableParagraph"/>
              <w:spacing w:after="100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No annual reviews.</w:t>
            </w:r>
          </w:p>
        </w:tc>
      </w:tr>
      <w:tr w:rsidR="00A94D32" w14:paraId="4366BC34" w14:textId="77777777" w:rsidTr="00A94D32">
        <w:trPr>
          <w:trHeight w:val="293"/>
        </w:trPr>
        <w:tc>
          <w:tcPr>
            <w:tcW w:w="1550" w:type="dxa"/>
            <w:shd w:val="clear" w:color="auto" w:fill="7030A0"/>
          </w:tcPr>
          <w:p w14:paraId="15EBEA76" w14:textId="51983D31" w:rsidR="00A94D32" w:rsidRDefault="00A94D32" w:rsidP="00A92901">
            <w:pPr>
              <w:pStyle w:val="TableParagraph"/>
              <w:spacing w:after="120"/>
              <w:rPr>
                <w:sz w:val="16"/>
              </w:rPr>
            </w:pPr>
            <w:r>
              <w:rPr>
                <w:color w:val="FFFFFF"/>
                <w:sz w:val="16"/>
              </w:rPr>
              <w:t>Repayment Method &amp; Frequency:</w:t>
            </w:r>
          </w:p>
        </w:tc>
        <w:tc>
          <w:tcPr>
            <w:tcW w:w="4137" w:type="dxa"/>
            <w:shd w:val="clear" w:color="auto" w:fill="ECEAEA"/>
          </w:tcPr>
          <w:p w14:paraId="0B27915C" w14:textId="504B6F46" w:rsidR="00A94D32" w:rsidRPr="00C17CF8" w:rsidRDefault="00A94D32" w:rsidP="00A92901">
            <w:pPr>
              <w:pStyle w:val="Pa2"/>
              <w:spacing w:before="120"/>
              <w:ind w:hanging="220"/>
              <w:rPr>
                <w:rStyle w:val="A2"/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17CF8">
              <w:rPr>
                <w:rStyle w:val="A2"/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W    Weekly, Fortnightly or Monthly options.                              </w:t>
            </w:r>
          </w:p>
          <w:p w14:paraId="168E7CD9" w14:textId="0D3B6807" w:rsidR="00A94D32" w:rsidRPr="00C17CF8" w:rsidRDefault="00A94D32" w:rsidP="004B01AF">
            <w:pPr>
              <w:pStyle w:val="Pa2"/>
              <w:ind w:hanging="220"/>
              <w:rPr>
                <w:color w:val="595959" w:themeColor="text1" w:themeTint="A6"/>
                <w:sz w:val="16"/>
              </w:rPr>
            </w:pPr>
          </w:p>
        </w:tc>
        <w:tc>
          <w:tcPr>
            <w:tcW w:w="35" w:type="dxa"/>
            <w:vMerge/>
          </w:tcPr>
          <w:p w14:paraId="73584B59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3405E500" w14:textId="77777777" w:rsidR="00A94D32" w:rsidRDefault="00A94D32" w:rsidP="004B01AF">
            <w:pPr>
              <w:rPr>
                <w:color w:val="FFFFFF"/>
                <w:sz w:val="16"/>
              </w:rPr>
            </w:pPr>
          </w:p>
          <w:p w14:paraId="1D4F9038" w14:textId="0686226A" w:rsidR="00A94D32" w:rsidRPr="00BA1B08" w:rsidRDefault="00A94D32" w:rsidP="004B01AF">
            <w:pPr>
              <w:rPr>
                <w:sz w:val="16"/>
                <w:szCs w:val="16"/>
              </w:rPr>
            </w:pPr>
            <w:r>
              <w:rPr>
                <w:color w:val="FFFFFF"/>
                <w:sz w:val="16"/>
              </w:rPr>
              <w:t xml:space="preserve">  Processing Fee:</w:t>
            </w:r>
          </w:p>
        </w:tc>
        <w:tc>
          <w:tcPr>
            <w:tcW w:w="4071" w:type="dxa"/>
            <w:shd w:val="clear" w:color="auto" w:fill="ECEAEA"/>
          </w:tcPr>
          <w:p w14:paraId="7712C0B3" w14:textId="77777777" w:rsidR="00A94D32" w:rsidRPr="00C17CF8" w:rsidRDefault="00A94D32" w:rsidP="004B01AF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105C63A0" w14:textId="1206A6B5" w:rsidR="00A94D32" w:rsidRPr="00C17CF8" w:rsidRDefault="00A94D32" w:rsidP="00313D91">
            <w:pPr>
              <w:ind w:left="113"/>
              <w:rPr>
                <w:color w:val="595959" w:themeColor="text1" w:themeTint="A6"/>
                <w:sz w:val="16"/>
                <w:szCs w:val="16"/>
              </w:rPr>
            </w:pPr>
            <w:r w:rsidRPr="008619CC">
              <w:rPr>
                <w:color w:val="404040" w:themeColor="text1" w:themeTint="BF"/>
                <w:sz w:val="16"/>
              </w:rPr>
              <w:t>$499 (payable at settlement).</w:t>
            </w:r>
          </w:p>
        </w:tc>
      </w:tr>
      <w:tr w:rsidR="00A94D32" w14:paraId="238E920A" w14:textId="77777777" w:rsidTr="00A94D32">
        <w:trPr>
          <w:trHeight w:val="217"/>
        </w:trPr>
        <w:tc>
          <w:tcPr>
            <w:tcW w:w="1550" w:type="dxa"/>
            <w:shd w:val="clear" w:color="auto" w:fill="7030A0"/>
          </w:tcPr>
          <w:p w14:paraId="6173DAAF" w14:textId="77777777" w:rsidR="00A94D32" w:rsidRDefault="00A94D32" w:rsidP="004B01AF">
            <w:pPr>
              <w:pStyle w:val="TableParagraph"/>
              <w:rPr>
                <w:sz w:val="16"/>
              </w:rPr>
            </w:pPr>
            <w:r>
              <w:rPr>
                <w:color w:val="FFFFFF"/>
                <w:sz w:val="16"/>
              </w:rPr>
              <w:t>Cash Out:</w:t>
            </w:r>
          </w:p>
        </w:tc>
        <w:tc>
          <w:tcPr>
            <w:tcW w:w="4137" w:type="dxa"/>
            <w:shd w:val="clear" w:color="auto" w:fill="ECEAEA"/>
          </w:tcPr>
          <w:p w14:paraId="3499657C" w14:textId="5EC5272B" w:rsidR="00A94D32" w:rsidRPr="00C17CF8" w:rsidRDefault="00A94D32" w:rsidP="004B01AF">
            <w:pPr>
              <w:pStyle w:val="TableParagraph"/>
              <w:rPr>
                <w:color w:val="595959" w:themeColor="text1" w:themeTint="A6"/>
                <w:sz w:val="16"/>
              </w:rPr>
            </w:pPr>
            <w:r>
              <w:rPr>
                <w:color w:val="595959" w:themeColor="text1" w:themeTint="A6"/>
                <w:sz w:val="16"/>
              </w:rPr>
              <w:t>Unlimited to 80% LVR with reasonable justification.</w:t>
            </w:r>
            <w:r w:rsidRPr="00C17CF8">
              <w:rPr>
                <w:color w:val="595959" w:themeColor="text1" w:themeTint="A6"/>
                <w:sz w:val="16"/>
              </w:rPr>
              <w:t xml:space="preserve">  </w:t>
            </w:r>
          </w:p>
        </w:tc>
        <w:tc>
          <w:tcPr>
            <w:tcW w:w="35" w:type="dxa"/>
            <w:vMerge/>
          </w:tcPr>
          <w:p w14:paraId="7BD70DD3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6F23AF86" w14:textId="77777777" w:rsidR="00A94D32" w:rsidRDefault="00A94D32" w:rsidP="004B0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  <w:p w14:paraId="043A584F" w14:textId="6618722A" w:rsidR="00A94D32" w:rsidRPr="00BA1B08" w:rsidRDefault="00A94D32" w:rsidP="004B01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color w:val="FFFFFF"/>
                <w:sz w:val="16"/>
              </w:rPr>
              <w:t xml:space="preserve">Discharge Fee:               </w:t>
            </w:r>
          </w:p>
        </w:tc>
        <w:tc>
          <w:tcPr>
            <w:tcW w:w="4071" w:type="dxa"/>
            <w:shd w:val="clear" w:color="auto" w:fill="ECEAEA"/>
          </w:tcPr>
          <w:p w14:paraId="58C6AD9B" w14:textId="77777777" w:rsidR="00A94D32" w:rsidRPr="00C17CF8" w:rsidRDefault="00A94D32" w:rsidP="004B01AF">
            <w:pPr>
              <w:rPr>
                <w:color w:val="595959" w:themeColor="text1" w:themeTint="A6"/>
                <w:sz w:val="16"/>
                <w:szCs w:val="16"/>
              </w:rPr>
            </w:pPr>
          </w:p>
          <w:p w14:paraId="4D5A7D87" w14:textId="6F38C335" w:rsidR="00A94D32" w:rsidRPr="00C17CF8" w:rsidRDefault="00A94D32" w:rsidP="00A92901">
            <w:pPr>
              <w:spacing w:after="120"/>
              <w:ind w:left="132" w:hanging="132"/>
              <w:rPr>
                <w:color w:val="595959" w:themeColor="text1" w:themeTint="A6"/>
                <w:sz w:val="16"/>
                <w:szCs w:val="16"/>
              </w:rPr>
            </w:pPr>
            <w:r>
              <w:rPr>
                <w:color w:val="595959" w:themeColor="text1" w:themeTint="A6"/>
                <w:sz w:val="16"/>
              </w:rPr>
              <w:t xml:space="preserve">   </w:t>
            </w:r>
            <w:r w:rsidRPr="00A4192B">
              <w:rPr>
                <w:color w:val="595959" w:themeColor="text1" w:themeTint="A6"/>
                <w:sz w:val="16"/>
              </w:rPr>
              <w:t>$490    Code loan + funder’s legal costs.</w:t>
            </w:r>
            <w:r>
              <w:rPr>
                <w:color w:val="595959" w:themeColor="text1" w:themeTint="A6"/>
                <w:sz w:val="16"/>
              </w:rPr>
              <w:t xml:space="preserve">                     (</w:t>
            </w:r>
            <w:r w:rsidRPr="00A4192B">
              <w:rPr>
                <w:color w:val="595959" w:themeColor="text1" w:themeTint="A6"/>
                <w:sz w:val="16"/>
              </w:rPr>
              <w:t>$</w:t>
            </w:r>
            <w:proofErr w:type="gramStart"/>
            <w:r w:rsidRPr="00A4192B">
              <w:rPr>
                <w:color w:val="595959" w:themeColor="text1" w:themeTint="A6"/>
                <w:sz w:val="16"/>
              </w:rPr>
              <w:t>1350  Non</w:t>
            </w:r>
            <w:proofErr w:type="gramEnd"/>
            <w:r w:rsidRPr="00A4192B">
              <w:rPr>
                <w:color w:val="595959" w:themeColor="text1" w:themeTint="A6"/>
                <w:sz w:val="16"/>
              </w:rPr>
              <w:t>-Code + funder’s legal costs</w:t>
            </w:r>
            <w:r>
              <w:rPr>
                <w:color w:val="595959" w:themeColor="text1" w:themeTint="A6"/>
                <w:sz w:val="16"/>
              </w:rPr>
              <w:t>)</w:t>
            </w:r>
            <w:r w:rsidRPr="00A4192B">
              <w:rPr>
                <w:color w:val="595959" w:themeColor="text1" w:themeTint="A6"/>
                <w:sz w:val="16"/>
              </w:rPr>
              <w:t xml:space="preserve">.                                </w:t>
            </w:r>
            <w:r>
              <w:rPr>
                <w:color w:val="595959" w:themeColor="text1" w:themeTint="A6"/>
                <w:sz w:val="16"/>
              </w:rPr>
              <w:t xml:space="preserve">   </w:t>
            </w:r>
          </w:p>
        </w:tc>
      </w:tr>
      <w:tr w:rsidR="00A94D32" w14:paraId="4013D6EA" w14:textId="77777777" w:rsidTr="00A94D32">
        <w:trPr>
          <w:trHeight w:val="419"/>
        </w:trPr>
        <w:tc>
          <w:tcPr>
            <w:tcW w:w="1550" w:type="dxa"/>
            <w:shd w:val="clear" w:color="auto" w:fill="7030A0"/>
          </w:tcPr>
          <w:p w14:paraId="2F8555FC" w14:textId="27D9E90D" w:rsidR="00A94D32" w:rsidRDefault="00A94D32" w:rsidP="003265C9">
            <w:pPr>
              <w:pStyle w:val="TableParagraph"/>
              <w:spacing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Redraw:</w:t>
            </w:r>
          </w:p>
        </w:tc>
        <w:tc>
          <w:tcPr>
            <w:tcW w:w="4137" w:type="dxa"/>
            <w:shd w:val="clear" w:color="auto" w:fill="ECEAEA"/>
          </w:tcPr>
          <w:p w14:paraId="294081E9" w14:textId="1BE914F6" w:rsidR="00A94D32" w:rsidRPr="00C17CF8" w:rsidRDefault="00A94D32" w:rsidP="003265C9">
            <w:pPr>
              <w:pStyle w:val="TableParagraph"/>
              <w:spacing w:after="100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Available on Variable rates only. </w:t>
            </w:r>
          </w:p>
        </w:tc>
        <w:tc>
          <w:tcPr>
            <w:tcW w:w="35" w:type="dxa"/>
            <w:vMerge/>
          </w:tcPr>
          <w:p w14:paraId="2AC4878F" w14:textId="77777777" w:rsidR="00A94D32" w:rsidRDefault="00A94D32" w:rsidP="003265C9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  <w:shd w:val="clear" w:color="auto" w:fill="7030A0"/>
          </w:tcPr>
          <w:p w14:paraId="71C8C510" w14:textId="71002E84" w:rsidR="00A94D32" w:rsidRDefault="00A94D32" w:rsidP="003265C9">
            <w:pPr>
              <w:pStyle w:val="TableParagraph"/>
              <w:spacing w:before="61" w:after="100" w:line="249" w:lineRule="auto"/>
              <w:ind w:right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Early Termination </w:t>
            </w:r>
            <w:proofErr w:type="gramStart"/>
            <w:r>
              <w:rPr>
                <w:color w:val="FFFFFF"/>
                <w:sz w:val="16"/>
              </w:rPr>
              <w:t>Fee  (</w:t>
            </w:r>
            <w:proofErr w:type="gramEnd"/>
            <w:r>
              <w:rPr>
                <w:color w:val="FFFFFF"/>
                <w:sz w:val="16"/>
              </w:rPr>
              <w:t>ETF):</w:t>
            </w:r>
          </w:p>
        </w:tc>
        <w:tc>
          <w:tcPr>
            <w:tcW w:w="4071" w:type="dxa"/>
            <w:vMerge w:val="restart"/>
            <w:shd w:val="clear" w:color="auto" w:fill="ECEAEA"/>
          </w:tcPr>
          <w:p w14:paraId="3FF1F369" w14:textId="509FCA81" w:rsidR="00A94D32" w:rsidRPr="00C17CF8" w:rsidRDefault="00A94D32" w:rsidP="003265C9">
            <w:pPr>
              <w:pStyle w:val="TableParagraph"/>
              <w:spacing w:before="63" w:after="100" w:line="278" w:lineRule="auto"/>
              <w:ind w:left="142" w:right="53"/>
              <w:rPr>
                <w:color w:val="595959" w:themeColor="text1" w:themeTint="A6"/>
                <w:sz w:val="2"/>
                <w:szCs w:val="2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$ </w:t>
            </w:r>
            <w:proofErr w:type="gramStart"/>
            <w:r w:rsidRPr="00C17CF8">
              <w:rPr>
                <w:color w:val="595959" w:themeColor="text1" w:themeTint="A6"/>
                <w:sz w:val="16"/>
              </w:rPr>
              <w:t>Nil  Individual</w:t>
            </w:r>
            <w:proofErr w:type="gramEnd"/>
            <w:r w:rsidRPr="00C17CF8">
              <w:rPr>
                <w:color w:val="595959" w:themeColor="text1" w:themeTint="A6"/>
                <w:sz w:val="16"/>
              </w:rPr>
              <w:t xml:space="preserve"> Borrowers.                            </w:t>
            </w:r>
            <w:r>
              <w:rPr>
                <w:color w:val="595959" w:themeColor="text1" w:themeTint="A6"/>
                <w:sz w:val="16"/>
              </w:rPr>
              <w:t xml:space="preserve">           </w:t>
            </w:r>
            <w:r w:rsidRPr="00C17CF8">
              <w:rPr>
                <w:color w:val="595959" w:themeColor="text1" w:themeTint="A6"/>
                <w:sz w:val="16"/>
              </w:rPr>
              <w:t xml:space="preserve">2.0% </w:t>
            </w:r>
            <w:proofErr w:type="gramStart"/>
            <w:r w:rsidRPr="00C17CF8">
              <w:rPr>
                <w:color w:val="595959" w:themeColor="text1" w:themeTint="A6"/>
                <w:sz w:val="16"/>
              </w:rPr>
              <w:t>ETF</w:t>
            </w:r>
            <w:proofErr w:type="gramEnd"/>
            <w:r w:rsidRPr="00C17CF8">
              <w:rPr>
                <w:color w:val="595959" w:themeColor="text1" w:themeTint="A6"/>
                <w:sz w:val="16"/>
              </w:rPr>
              <w:t xml:space="preserve"> applies to Company / Corporate Trustee borrowers if loan is discharged in the first 3 years (based on original loan amount).  ETF also applies to principal reductions &gt;$10,000 per month.                                    </w:t>
            </w:r>
          </w:p>
        </w:tc>
      </w:tr>
      <w:tr w:rsidR="00A94D32" w14:paraId="06512182" w14:textId="77777777" w:rsidTr="00A94D32">
        <w:trPr>
          <w:trHeight w:val="419"/>
        </w:trPr>
        <w:tc>
          <w:tcPr>
            <w:tcW w:w="1550" w:type="dxa"/>
            <w:shd w:val="clear" w:color="auto" w:fill="7030A0"/>
          </w:tcPr>
          <w:p w14:paraId="10BAA30F" w14:textId="59E08517" w:rsidR="00A94D32" w:rsidRDefault="00A94D32" w:rsidP="004B01AF">
            <w:pPr>
              <w:pStyle w:val="TableParagraph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Offset Account:</w:t>
            </w:r>
          </w:p>
        </w:tc>
        <w:tc>
          <w:tcPr>
            <w:tcW w:w="4137" w:type="dxa"/>
            <w:shd w:val="clear" w:color="auto" w:fill="ECEAEA"/>
          </w:tcPr>
          <w:p w14:paraId="630E30E4" w14:textId="5B82778C" w:rsidR="00A94D32" w:rsidRPr="00C17CF8" w:rsidRDefault="00A94D32" w:rsidP="004B01AF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Not available.</w:t>
            </w:r>
          </w:p>
        </w:tc>
        <w:tc>
          <w:tcPr>
            <w:tcW w:w="35" w:type="dxa"/>
            <w:vMerge/>
          </w:tcPr>
          <w:p w14:paraId="32768EBE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shd w:val="clear" w:color="auto" w:fill="7030A0"/>
          </w:tcPr>
          <w:p w14:paraId="094EE8CB" w14:textId="77777777" w:rsidR="00A94D32" w:rsidRDefault="00A94D32" w:rsidP="004B01AF">
            <w:pPr>
              <w:pStyle w:val="TableParagraph"/>
              <w:spacing w:before="61" w:line="249" w:lineRule="auto"/>
              <w:ind w:right="407"/>
              <w:rPr>
                <w:sz w:val="16"/>
              </w:rPr>
            </w:pPr>
          </w:p>
        </w:tc>
        <w:tc>
          <w:tcPr>
            <w:tcW w:w="4071" w:type="dxa"/>
            <w:vMerge/>
            <w:shd w:val="clear" w:color="auto" w:fill="ECEAEA"/>
          </w:tcPr>
          <w:p w14:paraId="33455816" w14:textId="77777777" w:rsidR="00A94D32" w:rsidRPr="00C17CF8" w:rsidRDefault="00A94D32" w:rsidP="004B01AF">
            <w:pPr>
              <w:pStyle w:val="TableParagraph"/>
              <w:spacing w:before="63" w:line="278" w:lineRule="auto"/>
              <w:ind w:left="142" w:right="53"/>
              <w:rPr>
                <w:color w:val="595959" w:themeColor="text1" w:themeTint="A6"/>
                <w:sz w:val="2"/>
                <w:szCs w:val="2"/>
              </w:rPr>
            </w:pPr>
          </w:p>
        </w:tc>
      </w:tr>
      <w:tr w:rsidR="00A94D32" w14:paraId="1F34A949" w14:textId="77777777" w:rsidTr="00A94D32">
        <w:trPr>
          <w:trHeight w:val="419"/>
        </w:trPr>
        <w:tc>
          <w:tcPr>
            <w:tcW w:w="1550" w:type="dxa"/>
            <w:shd w:val="clear" w:color="auto" w:fill="7030A0"/>
          </w:tcPr>
          <w:p w14:paraId="5428ABB1" w14:textId="0F7A6F46" w:rsidR="00A94D32" w:rsidRDefault="00A94D32" w:rsidP="004B01AF">
            <w:pPr>
              <w:pStyle w:val="TableParagraph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Locations:</w:t>
            </w:r>
          </w:p>
        </w:tc>
        <w:tc>
          <w:tcPr>
            <w:tcW w:w="4137" w:type="dxa"/>
            <w:shd w:val="clear" w:color="auto" w:fill="ECEAEA"/>
          </w:tcPr>
          <w:p w14:paraId="03C40C1A" w14:textId="2211B212" w:rsidR="00A94D32" w:rsidRPr="00C17CF8" w:rsidRDefault="00A94D32" w:rsidP="004B01AF">
            <w:pPr>
              <w:pStyle w:val="TableParagraph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5"/>
              </w:rPr>
              <w:t xml:space="preserve">Residential securities in categories 1 &amp; 2.                   </w:t>
            </w:r>
          </w:p>
        </w:tc>
        <w:tc>
          <w:tcPr>
            <w:tcW w:w="35" w:type="dxa"/>
            <w:vMerge/>
          </w:tcPr>
          <w:p w14:paraId="1310F78C" w14:textId="77777777" w:rsidR="00A94D32" w:rsidRDefault="00A94D32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shd w:val="clear" w:color="auto" w:fill="7030A0"/>
          </w:tcPr>
          <w:p w14:paraId="3EAB9058" w14:textId="738755DC" w:rsidR="00A94D32" w:rsidRDefault="00A94D32" w:rsidP="004B01AF">
            <w:pPr>
              <w:pStyle w:val="TableParagraph"/>
              <w:spacing w:before="61" w:line="249" w:lineRule="auto"/>
              <w:ind w:right="407"/>
              <w:rPr>
                <w:color w:val="FFFFFF"/>
                <w:sz w:val="16"/>
              </w:rPr>
            </w:pPr>
          </w:p>
        </w:tc>
        <w:tc>
          <w:tcPr>
            <w:tcW w:w="4071" w:type="dxa"/>
            <w:vMerge/>
            <w:shd w:val="clear" w:color="auto" w:fill="ECEAEA"/>
          </w:tcPr>
          <w:p w14:paraId="56CD5B4E" w14:textId="38DC3919" w:rsidR="00A94D32" w:rsidRPr="00C17CF8" w:rsidRDefault="00A94D32" w:rsidP="004B01AF">
            <w:pPr>
              <w:pStyle w:val="TableParagraph"/>
              <w:spacing w:before="63" w:line="278" w:lineRule="auto"/>
              <w:ind w:left="142" w:right="53"/>
              <w:rPr>
                <w:color w:val="595959" w:themeColor="text1" w:themeTint="A6"/>
                <w:sz w:val="16"/>
              </w:rPr>
            </w:pPr>
          </w:p>
        </w:tc>
      </w:tr>
      <w:tr w:rsidR="004B01AF" w14:paraId="45679E34" w14:textId="77777777" w:rsidTr="00A94D32">
        <w:trPr>
          <w:trHeight w:val="419"/>
        </w:trPr>
        <w:tc>
          <w:tcPr>
            <w:tcW w:w="1550" w:type="dxa"/>
            <w:shd w:val="clear" w:color="auto" w:fill="7030A0"/>
          </w:tcPr>
          <w:p w14:paraId="32F6C662" w14:textId="3D3FFEB7" w:rsidR="004B01AF" w:rsidRPr="00495E8B" w:rsidRDefault="004B01AF" w:rsidP="003265C9">
            <w:pPr>
              <w:pStyle w:val="TableParagraph"/>
              <w:spacing w:after="100" w:line="181" w:lineRule="exact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</w:rPr>
              <w:t xml:space="preserve">Acceptable </w:t>
            </w:r>
            <w:r w:rsidRPr="00495E8B">
              <w:rPr>
                <w:color w:val="FFFFFF"/>
                <w:sz w:val="16"/>
                <w:szCs w:val="16"/>
              </w:rPr>
              <w:t>Securities:</w:t>
            </w:r>
          </w:p>
        </w:tc>
        <w:tc>
          <w:tcPr>
            <w:tcW w:w="4137" w:type="dxa"/>
            <w:shd w:val="clear" w:color="auto" w:fill="ECEAEA"/>
          </w:tcPr>
          <w:p w14:paraId="402575DE" w14:textId="69D20651" w:rsidR="004B01AF" w:rsidRPr="00C17CF8" w:rsidRDefault="004B01AF" w:rsidP="003265C9">
            <w:pPr>
              <w:pStyle w:val="TableParagraph"/>
              <w:spacing w:after="100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Owner Occupied and Investment properties</w:t>
            </w:r>
            <w:r w:rsidRPr="00C17CF8">
              <w:rPr>
                <w:color w:val="595959" w:themeColor="text1" w:themeTint="A6"/>
                <w:sz w:val="15"/>
              </w:rPr>
              <w:t xml:space="preserve">.              </w:t>
            </w:r>
          </w:p>
        </w:tc>
        <w:tc>
          <w:tcPr>
            <w:tcW w:w="35" w:type="dxa"/>
          </w:tcPr>
          <w:p w14:paraId="78279E6F" w14:textId="77777777" w:rsidR="004B01AF" w:rsidRDefault="004B01AF" w:rsidP="003265C9">
            <w:pPr>
              <w:spacing w:after="100"/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  <w:shd w:val="clear" w:color="auto" w:fill="7030A0"/>
          </w:tcPr>
          <w:p w14:paraId="22F611E5" w14:textId="0806AD3A" w:rsidR="004B01AF" w:rsidRPr="007F1A32" w:rsidRDefault="004B01AF" w:rsidP="003265C9">
            <w:pPr>
              <w:pStyle w:val="TableParagraph"/>
              <w:spacing w:before="61" w:after="100" w:line="249" w:lineRule="auto"/>
              <w:ind w:right="407"/>
              <w:rPr>
                <w:color w:val="FFFFFF"/>
                <w:sz w:val="16"/>
              </w:rPr>
            </w:pPr>
            <w:r w:rsidRPr="007F1A32">
              <w:rPr>
                <w:color w:val="FFFFFF"/>
                <w:sz w:val="16"/>
              </w:rPr>
              <w:t>IMPORTANT NOTICE:</w:t>
            </w:r>
          </w:p>
        </w:tc>
        <w:tc>
          <w:tcPr>
            <w:tcW w:w="4071" w:type="dxa"/>
            <w:vMerge w:val="restart"/>
            <w:shd w:val="clear" w:color="auto" w:fill="ECEAEA"/>
          </w:tcPr>
          <w:p w14:paraId="5519448C" w14:textId="077A1F83" w:rsidR="004B01AF" w:rsidRPr="00C17CF8" w:rsidRDefault="004B01AF" w:rsidP="003265C9">
            <w:pPr>
              <w:pStyle w:val="TableParagraph"/>
              <w:spacing w:before="63" w:after="100" w:line="278" w:lineRule="auto"/>
              <w:ind w:left="142" w:right="53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Rates and fees are subject to change without notice.  Please refer to your Allstate representative for confirmation of</w:t>
            </w:r>
            <w:r>
              <w:rPr>
                <w:color w:val="595959" w:themeColor="text1" w:themeTint="A6"/>
                <w:sz w:val="16"/>
              </w:rPr>
              <w:t xml:space="preserve"> the</w:t>
            </w:r>
            <w:r w:rsidRPr="00C17CF8">
              <w:rPr>
                <w:color w:val="595959" w:themeColor="text1" w:themeTint="A6"/>
                <w:sz w:val="16"/>
              </w:rPr>
              <w:t xml:space="preserve"> current rates and fees. </w:t>
            </w:r>
            <w:r>
              <w:rPr>
                <w:color w:val="595959" w:themeColor="text1" w:themeTint="A6"/>
                <w:sz w:val="16"/>
              </w:rPr>
              <w:t xml:space="preserve">                    </w:t>
            </w:r>
            <w:r w:rsidRPr="00C17CF8">
              <w:rPr>
                <w:color w:val="595959" w:themeColor="text1" w:themeTint="A6"/>
                <w:sz w:val="16"/>
                <w:szCs w:val="16"/>
              </w:rPr>
              <w:t>* Conditions Apply.   All fees include GST.</w:t>
            </w:r>
          </w:p>
        </w:tc>
      </w:tr>
      <w:tr w:rsidR="004B01AF" w14:paraId="5B7A1B99" w14:textId="77777777" w:rsidTr="00A94D32">
        <w:trPr>
          <w:trHeight w:val="419"/>
        </w:trPr>
        <w:tc>
          <w:tcPr>
            <w:tcW w:w="1550" w:type="dxa"/>
            <w:shd w:val="clear" w:color="auto" w:fill="7030A0"/>
          </w:tcPr>
          <w:p w14:paraId="4B0F0579" w14:textId="3675E97B" w:rsidR="004B01AF" w:rsidRPr="00495E8B" w:rsidRDefault="004B01AF" w:rsidP="00905755">
            <w:pPr>
              <w:pStyle w:val="TableParagraph"/>
              <w:spacing w:before="106" w:after="60"/>
              <w:rPr>
                <w:color w:val="FFFFFF"/>
                <w:sz w:val="16"/>
                <w:szCs w:val="16"/>
              </w:rPr>
            </w:pPr>
            <w:r w:rsidRPr="00495E8B">
              <w:rPr>
                <w:color w:val="FFFFFF"/>
                <w:sz w:val="16"/>
                <w:szCs w:val="16"/>
              </w:rPr>
              <w:t>Unacceptable Securities:</w:t>
            </w:r>
          </w:p>
        </w:tc>
        <w:tc>
          <w:tcPr>
            <w:tcW w:w="4137" w:type="dxa"/>
            <w:shd w:val="clear" w:color="auto" w:fill="ECEAEA"/>
          </w:tcPr>
          <w:p w14:paraId="1A51D1BE" w14:textId="1874437E" w:rsidR="004B01AF" w:rsidRPr="00C17CF8" w:rsidRDefault="004B01AF" w:rsidP="004B01AF">
            <w:pPr>
              <w:pStyle w:val="TableParagraph"/>
              <w:rPr>
                <w:b/>
                <w:bCs/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Non-Standard Security Properties.         </w:t>
            </w:r>
          </w:p>
        </w:tc>
        <w:tc>
          <w:tcPr>
            <w:tcW w:w="35" w:type="dxa"/>
          </w:tcPr>
          <w:p w14:paraId="4FE8373F" w14:textId="77777777" w:rsidR="004B01AF" w:rsidRDefault="004B01AF" w:rsidP="004B01AF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shd w:val="clear" w:color="auto" w:fill="7030A0"/>
          </w:tcPr>
          <w:p w14:paraId="1A9C41D5" w14:textId="7BC7C944" w:rsidR="004B01AF" w:rsidRDefault="004B01AF" w:rsidP="004B01AF">
            <w:pPr>
              <w:pStyle w:val="TableParagraph"/>
              <w:spacing w:before="61" w:line="249" w:lineRule="auto"/>
              <w:ind w:right="407"/>
              <w:rPr>
                <w:color w:val="FFFFFF"/>
                <w:sz w:val="16"/>
              </w:rPr>
            </w:pPr>
          </w:p>
        </w:tc>
        <w:tc>
          <w:tcPr>
            <w:tcW w:w="4071" w:type="dxa"/>
            <w:vMerge/>
            <w:shd w:val="clear" w:color="auto" w:fill="ECEAEA"/>
          </w:tcPr>
          <w:p w14:paraId="779648F7" w14:textId="6A1D2956" w:rsidR="004B01AF" w:rsidRDefault="004B01AF" w:rsidP="004B01AF">
            <w:pPr>
              <w:pStyle w:val="TableParagraph"/>
              <w:spacing w:before="63" w:line="278" w:lineRule="auto"/>
              <w:ind w:left="142" w:right="53"/>
              <w:rPr>
                <w:sz w:val="16"/>
              </w:rPr>
            </w:pPr>
          </w:p>
        </w:tc>
      </w:tr>
      <w:tr w:rsidR="004B01AF" w14:paraId="6BD1E382" w14:textId="77777777" w:rsidTr="00A94D32">
        <w:trPr>
          <w:trHeight w:val="419"/>
        </w:trPr>
        <w:tc>
          <w:tcPr>
            <w:tcW w:w="1550" w:type="dxa"/>
            <w:shd w:val="clear" w:color="auto" w:fill="7030A0"/>
          </w:tcPr>
          <w:p w14:paraId="58FFB34C" w14:textId="691B20DE" w:rsidR="004B01AF" w:rsidRDefault="004B01AF" w:rsidP="004B01AF">
            <w:pPr>
              <w:pStyle w:val="TableParagraph"/>
              <w:spacing w:before="106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Points of Difference:</w:t>
            </w:r>
          </w:p>
        </w:tc>
        <w:tc>
          <w:tcPr>
            <w:tcW w:w="9814" w:type="dxa"/>
            <w:gridSpan w:val="4"/>
            <w:shd w:val="clear" w:color="auto" w:fill="ECEAEA"/>
          </w:tcPr>
          <w:p w14:paraId="4867FBA6" w14:textId="77777777" w:rsidR="004B01AF" w:rsidRDefault="004B01AF" w:rsidP="004B01AF">
            <w:pPr>
              <w:ind w:left="165"/>
              <w:rPr>
                <w:color w:val="595959" w:themeColor="text1" w:themeTint="A6"/>
                <w:sz w:val="16"/>
              </w:rPr>
            </w:pPr>
          </w:p>
          <w:p w14:paraId="02C674F0" w14:textId="1A97B0D8" w:rsidR="004B01AF" w:rsidRPr="00C17CF8" w:rsidRDefault="004B01AF" w:rsidP="004B01AF">
            <w:pPr>
              <w:ind w:left="165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Clean credit history required – no arrears (excluding Council Rates) or defaults.  </w:t>
            </w:r>
          </w:p>
          <w:p w14:paraId="1280CCF1" w14:textId="77777777" w:rsidR="004B01AF" w:rsidRPr="00C17CF8" w:rsidRDefault="004B01AF" w:rsidP="004B01AF">
            <w:pPr>
              <w:ind w:left="165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>ATO Debts and Business Debts can be refinanced on this loan.</w:t>
            </w:r>
          </w:p>
          <w:p w14:paraId="72430467" w14:textId="1292E196" w:rsidR="004B01AF" w:rsidRPr="00C17CF8" w:rsidRDefault="004B01AF" w:rsidP="004B01AF">
            <w:pPr>
              <w:ind w:left="165"/>
              <w:rPr>
                <w:color w:val="595959" w:themeColor="text1" w:themeTint="A6"/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Will accept Visas with a minimum of 12 months to run.                                                                                                             </w:t>
            </w:r>
            <w:r>
              <w:rPr>
                <w:color w:val="595959" w:themeColor="text1" w:themeTint="A6"/>
                <w:sz w:val="16"/>
              </w:rPr>
              <w:t xml:space="preserve">             </w:t>
            </w:r>
            <w:r w:rsidRPr="00C17CF8">
              <w:rPr>
                <w:color w:val="595959" w:themeColor="text1" w:themeTint="A6"/>
                <w:sz w:val="16"/>
              </w:rPr>
              <w:t xml:space="preserve">  ETF can be avoided with a rate loading of approx. 0.25%. </w:t>
            </w:r>
            <w:r>
              <w:rPr>
                <w:color w:val="595959" w:themeColor="text1" w:themeTint="A6"/>
                <w:sz w:val="16"/>
              </w:rPr>
              <w:t>(Company / Corporate Trustee borrowers).</w:t>
            </w:r>
          </w:p>
          <w:p w14:paraId="735054CB" w14:textId="64E935D5" w:rsidR="004B01AF" w:rsidRPr="00E04297" w:rsidRDefault="004B01AF" w:rsidP="00343DD4">
            <w:pPr>
              <w:spacing w:after="240"/>
              <w:ind w:left="165"/>
              <w:rPr>
                <w:sz w:val="16"/>
              </w:rPr>
            </w:pPr>
            <w:r w:rsidRPr="00C17CF8">
              <w:rPr>
                <w:color w:val="595959" w:themeColor="text1" w:themeTint="A6"/>
                <w:sz w:val="16"/>
              </w:rPr>
              <w:t xml:space="preserve">Individuals, Companies, Family Trusts or Unit Trusts are acceptable. </w:t>
            </w:r>
            <w:r>
              <w:rPr>
                <w:color w:val="595959" w:themeColor="text1" w:themeTint="A6"/>
                <w:sz w:val="16"/>
              </w:rPr>
              <w:t xml:space="preserve">                                                                                                              </w:t>
            </w:r>
            <w:r w:rsidRPr="00C17CF8">
              <w:rPr>
                <w:color w:val="595959" w:themeColor="text1" w:themeTint="A6"/>
                <w:sz w:val="16"/>
              </w:rPr>
              <w:t xml:space="preserve">Unlimited </w:t>
            </w:r>
            <w:r>
              <w:rPr>
                <w:color w:val="595959" w:themeColor="text1" w:themeTint="A6"/>
                <w:sz w:val="16"/>
              </w:rPr>
              <w:t xml:space="preserve">loan </w:t>
            </w:r>
            <w:r w:rsidRPr="00C17CF8">
              <w:rPr>
                <w:color w:val="595959" w:themeColor="text1" w:themeTint="A6"/>
                <w:sz w:val="16"/>
              </w:rPr>
              <w:t xml:space="preserve">splits allowed.  </w:t>
            </w:r>
            <w:r w:rsidR="00A92901" w:rsidRPr="00EA281C">
              <w:rPr>
                <w:color w:val="595959" w:themeColor="text1" w:themeTint="A6"/>
                <w:sz w:val="16"/>
              </w:rPr>
              <w:t xml:space="preserve">Construction </w:t>
            </w:r>
            <w:r w:rsidR="00A92901">
              <w:rPr>
                <w:color w:val="595959" w:themeColor="text1" w:themeTint="A6"/>
                <w:sz w:val="16"/>
              </w:rPr>
              <w:t>may be considered as an exception</w:t>
            </w:r>
            <w:r w:rsidR="0095543D">
              <w:rPr>
                <w:color w:val="595959" w:themeColor="text1" w:themeTint="A6"/>
                <w:sz w:val="16"/>
              </w:rPr>
              <w:t>.</w:t>
            </w:r>
          </w:p>
        </w:tc>
      </w:tr>
    </w:tbl>
    <w:p w14:paraId="2837F669" w14:textId="05F4D7AA" w:rsidR="00AB2A45" w:rsidRDefault="00AB2A45" w:rsidP="00E04297">
      <w:pPr>
        <w:pStyle w:val="BodyText"/>
        <w:spacing w:before="9"/>
        <w:rPr>
          <w:sz w:val="14"/>
        </w:rPr>
      </w:pPr>
    </w:p>
    <w:p w14:paraId="1D024D1B" w14:textId="7C54CF0F" w:rsidR="00AB2A45" w:rsidRDefault="00AB2A45" w:rsidP="00E04297">
      <w:pPr>
        <w:pStyle w:val="BodyText"/>
        <w:spacing w:before="9"/>
        <w:rPr>
          <w:sz w:val="14"/>
        </w:rPr>
      </w:pPr>
    </w:p>
    <w:p w14:paraId="5C9872E0" w14:textId="5F7BE21A" w:rsidR="00AB2A45" w:rsidRDefault="00AB2A45" w:rsidP="00E04297">
      <w:pPr>
        <w:pStyle w:val="BodyText"/>
        <w:spacing w:before="9"/>
        <w:rPr>
          <w:sz w:val="14"/>
        </w:rPr>
      </w:pPr>
    </w:p>
    <w:p w14:paraId="2E9DDA69" w14:textId="78D0B540" w:rsidR="00AB2A45" w:rsidRDefault="00AB2A45" w:rsidP="00E04297">
      <w:pPr>
        <w:pStyle w:val="BodyText"/>
        <w:spacing w:before="9"/>
        <w:rPr>
          <w:sz w:val="14"/>
        </w:rPr>
      </w:pPr>
    </w:p>
    <w:p w14:paraId="79C6408C" w14:textId="45A73511" w:rsidR="00AB2A45" w:rsidRDefault="00AB2A45" w:rsidP="00E04297">
      <w:pPr>
        <w:pStyle w:val="BodyText"/>
        <w:spacing w:before="9"/>
        <w:rPr>
          <w:sz w:val="14"/>
        </w:rPr>
      </w:pPr>
    </w:p>
    <w:p w14:paraId="3AABB0E8" w14:textId="67AE850D" w:rsidR="00AB2A45" w:rsidRDefault="00AB2A45" w:rsidP="00E04297">
      <w:pPr>
        <w:pStyle w:val="BodyText"/>
        <w:spacing w:before="9"/>
        <w:rPr>
          <w:sz w:val="14"/>
        </w:rPr>
      </w:pPr>
    </w:p>
    <w:p w14:paraId="2D333C95" w14:textId="21A7F972" w:rsidR="00AB2A45" w:rsidRDefault="00AB2A45" w:rsidP="00E04297">
      <w:pPr>
        <w:pStyle w:val="BodyText"/>
        <w:spacing w:before="9"/>
        <w:rPr>
          <w:sz w:val="14"/>
        </w:rPr>
      </w:pPr>
    </w:p>
    <w:p w14:paraId="441951AC" w14:textId="1A5F035C" w:rsidR="00AB2A45" w:rsidRDefault="00AB2A45" w:rsidP="00E04297">
      <w:pPr>
        <w:pStyle w:val="BodyText"/>
        <w:spacing w:before="9"/>
        <w:rPr>
          <w:sz w:val="14"/>
        </w:rPr>
      </w:pPr>
    </w:p>
    <w:p w14:paraId="4A10AC06" w14:textId="7CA44695" w:rsidR="00AB2A45" w:rsidRDefault="00AB2A45" w:rsidP="00E04297">
      <w:pPr>
        <w:pStyle w:val="BodyText"/>
        <w:spacing w:before="9"/>
        <w:rPr>
          <w:sz w:val="14"/>
        </w:rPr>
      </w:pPr>
    </w:p>
    <w:p w14:paraId="317725E2" w14:textId="77777777" w:rsidR="00AB2A45" w:rsidRDefault="00AB2A45" w:rsidP="00E04297">
      <w:pPr>
        <w:pStyle w:val="BodyText"/>
        <w:spacing w:before="9"/>
        <w:rPr>
          <w:sz w:val="14"/>
        </w:rPr>
      </w:pPr>
    </w:p>
    <w:sectPr w:rsidR="00AB2A45" w:rsidSect="00F86C73">
      <w:footerReference w:type="default" r:id="rId10"/>
      <w:type w:val="continuous"/>
      <w:pgSz w:w="11910" w:h="16840" w:code="9"/>
      <w:pgMar w:top="142" w:right="284" w:bottom="-57" w:left="1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0F63" w14:textId="77777777" w:rsidR="008705BD" w:rsidRDefault="008705BD" w:rsidP="00E07ADA">
      <w:r>
        <w:separator/>
      </w:r>
    </w:p>
  </w:endnote>
  <w:endnote w:type="continuationSeparator" w:id="0">
    <w:p w14:paraId="409BB16B" w14:textId="77777777" w:rsidR="008705BD" w:rsidRDefault="008705BD" w:rsidP="00E0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E424" w14:textId="77777777" w:rsidR="00E07ADA" w:rsidRPr="00343DD4" w:rsidRDefault="00E07ADA" w:rsidP="00E07ADA">
    <w:pPr>
      <w:pStyle w:val="BodyText"/>
      <w:shd w:val="clear" w:color="auto" w:fill="002060"/>
      <w:ind w:left="170"/>
      <w:rPr>
        <w:color w:val="FFFFFF" w:themeColor="background1"/>
        <w:sz w:val="12"/>
        <w:szCs w:val="12"/>
      </w:rPr>
    </w:pPr>
  </w:p>
  <w:p w14:paraId="3ACE1B62" w14:textId="77777777" w:rsidR="00E07ADA" w:rsidRPr="00F35EFC" w:rsidRDefault="00E07ADA" w:rsidP="00E07ADA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b/>
        <w:color w:val="FFFF00"/>
        <w:sz w:val="20"/>
        <w:szCs w:val="20"/>
      </w:rPr>
      <w:t xml:space="preserve">        </w:t>
    </w:r>
    <w:r w:rsidRPr="005F1415">
      <w:rPr>
        <w:bCs/>
        <w:color w:val="FFFFFF" w:themeColor="background1"/>
        <w:sz w:val="24"/>
        <w:szCs w:val="24"/>
      </w:rPr>
      <w:t xml:space="preserve">Allstate Home Loans Pty Ltd                                         </w:t>
    </w:r>
    <w:r w:rsidRPr="005F1415">
      <w:rPr>
        <w:bCs/>
        <w:color w:val="FFFFFF" w:themeColor="background1"/>
        <w:sz w:val="20"/>
        <w:szCs w:val="20"/>
      </w:rPr>
      <w:t xml:space="preserve">                                </w:t>
    </w:r>
    <w:r>
      <w:rPr>
        <w:bCs/>
        <w:color w:val="FFFFFF" w:themeColor="background1"/>
        <w:sz w:val="20"/>
        <w:szCs w:val="20"/>
      </w:rPr>
      <w:t xml:space="preserve">        </w:t>
    </w:r>
    <w:r w:rsidRPr="005F1415">
      <w:rPr>
        <w:bCs/>
        <w:color w:val="FFFFFF" w:themeColor="background1"/>
        <w:sz w:val="20"/>
        <w:szCs w:val="20"/>
      </w:rPr>
      <w:t xml:space="preserve">  </w:t>
    </w:r>
    <w:r w:rsidRPr="00F35EFC">
      <w:rPr>
        <w:color w:val="FFFFFF" w:themeColor="background1"/>
        <w:sz w:val="20"/>
        <w:szCs w:val="20"/>
      </w:rPr>
      <w:t xml:space="preserve">Phone </w:t>
    </w:r>
    <w:r w:rsidRPr="005F1415">
      <w:rPr>
        <w:color w:val="FFFFFF" w:themeColor="background1"/>
        <w:sz w:val="24"/>
        <w:szCs w:val="24"/>
      </w:rPr>
      <w:t>1800 101 368</w:t>
    </w:r>
  </w:p>
  <w:p w14:paraId="0702A409" w14:textId="71EBFF27" w:rsidR="00E07ADA" w:rsidRPr="00F35EFC" w:rsidRDefault="00E07ADA" w:rsidP="00E07ADA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Pr="00F35EFC">
      <w:rPr>
        <w:color w:val="FFFFFF" w:themeColor="background1"/>
        <w:sz w:val="20"/>
        <w:szCs w:val="20"/>
      </w:rPr>
      <w:t xml:space="preserve">Email:   </w:t>
    </w:r>
    <w:proofErr w:type="gramStart"/>
    <w:r>
      <w:rPr>
        <w:color w:val="FFFFFF" w:themeColor="background1"/>
        <w:sz w:val="20"/>
        <w:szCs w:val="20"/>
      </w:rPr>
      <w:t>hell</w:t>
    </w:r>
    <w:r w:rsidRPr="00F35EFC">
      <w:rPr>
        <w:color w:val="FFFFFF" w:themeColor="background1"/>
        <w:sz w:val="20"/>
        <w:szCs w:val="20"/>
      </w:rPr>
      <w:t>o@allstateloans.au  |</w:t>
    </w:r>
    <w:proofErr w:type="gramEnd"/>
    <w:r w:rsidRPr="00F35EFC">
      <w:rPr>
        <w:color w:val="FFFFFF" w:themeColor="background1"/>
        <w:sz w:val="20"/>
        <w:szCs w:val="20"/>
      </w:rPr>
      <w:t xml:space="preserve"> Website: www.allstatehomeloans.com.au</w:t>
    </w:r>
  </w:p>
  <w:p w14:paraId="0B5B991B" w14:textId="38FFD255" w:rsidR="00E07ADA" w:rsidRPr="00F35EFC" w:rsidRDefault="00E07ADA" w:rsidP="00E07ADA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Pr="00F35EFC">
      <w:rPr>
        <w:color w:val="FFFFFF" w:themeColor="background1"/>
        <w:sz w:val="20"/>
        <w:szCs w:val="20"/>
      </w:rPr>
      <w:t xml:space="preserve">Postal: </w:t>
    </w:r>
    <w:r w:rsidR="007F1A32">
      <w:rPr>
        <w:color w:val="FFFFFF" w:themeColor="background1"/>
        <w:sz w:val="20"/>
        <w:szCs w:val="20"/>
      </w:rPr>
      <w:t xml:space="preserve"> </w:t>
    </w:r>
    <w:r w:rsidRPr="00F35EFC">
      <w:rPr>
        <w:color w:val="FFFFFF" w:themeColor="background1"/>
        <w:sz w:val="20"/>
        <w:szCs w:val="20"/>
      </w:rPr>
      <w:t xml:space="preserve">PO Box </w:t>
    </w:r>
    <w:r w:rsidR="007F1A32">
      <w:rPr>
        <w:color w:val="FFFFFF" w:themeColor="background1"/>
        <w:sz w:val="20"/>
        <w:szCs w:val="20"/>
      </w:rPr>
      <w:t>3553</w:t>
    </w:r>
    <w:r w:rsidRPr="00F35EFC">
      <w:rPr>
        <w:color w:val="FFFFFF" w:themeColor="background1"/>
        <w:sz w:val="20"/>
        <w:szCs w:val="20"/>
      </w:rPr>
      <w:t xml:space="preserve">, </w:t>
    </w:r>
    <w:r w:rsidR="007F1A32">
      <w:rPr>
        <w:color w:val="FFFFFF" w:themeColor="background1"/>
        <w:sz w:val="20"/>
        <w:szCs w:val="20"/>
      </w:rPr>
      <w:t>Loganholme</w:t>
    </w:r>
    <w:r w:rsidRPr="00F35EFC">
      <w:rPr>
        <w:color w:val="FFFFFF" w:themeColor="background1"/>
        <w:sz w:val="20"/>
        <w:szCs w:val="20"/>
      </w:rPr>
      <w:t xml:space="preserve"> Qld 4</w:t>
    </w:r>
    <w:r w:rsidR="007F1A32">
      <w:rPr>
        <w:color w:val="FFFFFF" w:themeColor="background1"/>
        <w:sz w:val="20"/>
        <w:szCs w:val="20"/>
      </w:rPr>
      <w:t>129</w:t>
    </w:r>
  </w:p>
  <w:p w14:paraId="540D5E40" w14:textId="77777777" w:rsidR="00E07ADA" w:rsidRDefault="00E07ADA" w:rsidP="00E07ADA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Pr="00F35EFC">
      <w:rPr>
        <w:color w:val="FFFFFF" w:themeColor="background1"/>
        <w:sz w:val="20"/>
        <w:szCs w:val="20"/>
      </w:rPr>
      <w:t>Australian Credit Licence: 384512   |   ABN:     86 010 377 018</w:t>
    </w:r>
  </w:p>
  <w:p w14:paraId="1FE594FE" w14:textId="77777777" w:rsidR="00E07ADA" w:rsidRPr="00343DD4" w:rsidRDefault="00E07ADA" w:rsidP="00E07ADA">
    <w:pPr>
      <w:pStyle w:val="BodyText"/>
      <w:shd w:val="clear" w:color="auto" w:fill="002060"/>
      <w:ind w:left="170"/>
      <w:jc w:val="center"/>
      <w:rPr>
        <w:color w:val="FFFFFF" w:themeColor="background1"/>
        <w:sz w:val="12"/>
        <w:szCs w:val="12"/>
      </w:rPr>
    </w:pPr>
  </w:p>
  <w:p w14:paraId="6E22902E" w14:textId="77777777" w:rsidR="00E07ADA" w:rsidRDefault="00E07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A864A" w14:textId="77777777" w:rsidR="008705BD" w:rsidRDefault="008705BD" w:rsidP="00E07ADA">
      <w:r>
        <w:separator/>
      </w:r>
    </w:p>
  </w:footnote>
  <w:footnote w:type="continuationSeparator" w:id="0">
    <w:p w14:paraId="43124E1B" w14:textId="77777777" w:rsidR="008705BD" w:rsidRDefault="008705BD" w:rsidP="00E0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1" w15:restartNumberingAfterBreak="0">
    <w:nsid w:val="31710A03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2" w15:restartNumberingAfterBreak="0">
    <w:nsid w:val="48CB56F1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3" w15:restartNumberingAfterBreak="0">
    <w:nsid w:val="4B331561"/>
    <w:multiLevelType w:val="multilevel"/>
    <w:tmpl w:val="A7365578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4" w15:restartNumberingAfterBreak="0">
    <w:nsid w:val="75F3360C"/>
    <w:multiLevelType w:val="hybridMultilevel"/>
    <w:tmpl w:val="4424A0DE"/>
    <w:lvl w:ilvl="0" w:tplc="F2C878B0">
      <w:numFmt w:val="bullet"/>
      <w:lvlText w:val="•"/>
      <w:lvlJc w:val="left"/>
      <w:pPr>
        <w:ind w:left="231" w:hanging="121"/>
      </w:pPr>
      <w:rPr>
        <w:rFonts w:ascii="Arial" w:eastAsia="Arial" w:hAnsi="Arial" w:cs="Arial" w:hint="default"/>
        <w:w w:val="114"/>
        <w:sz w:val="16"/>
        <w:szCs w:val="16"/>
        <w:lang w:val="en-US" w:eastAsia="en-US" w:bidi="en-US"/>
      </w:rPr>
    </w:lvl>
    <w:lvl w:ilvl="1" w:tplc="62F02B1E">
      <w:numFmt w:val="bullet"/>
      <w:lvlText w:val="•"/>
      <w:lvlJc w:val="left"/>
      <w:pPr>
        <w:ind w:left="575" w:hanging="121"/>
      </w:pPr>
      <w:rPr>
        <w:rFonts w:hint="default"/>
        <w:lang w:val="en-US" w:eastAsia="en-US" w:bidi="en-US"/>
      </w:rPr>
    </w:lvl>
    <w:lvl w:ilvl="2" w:tplc="AC70C5FC">
      <w:numFmt w:val="bullet"/>
      <w:lvlText w:val="•"/>
      <w:lvlJc w:val="left"/>
      <w:pPr>
        <w:ind w:left="911" w:hanging="121"/>
      </w:pPr>
      <w:rPr>
        <w:rFonts w:hint="default"/>
        <w:lang w:val="en-US" w:eastAsia="en-US" w:bidi="en-US"/>
      </w:rPr>
    </w:lvl>
    <w:lvl w:ilvl="3" w:tplc="D004BD54">
      <w:numFmt w:val="bullet"/>
      <w:lvlText w:val="•"/>
      <w:lvlJc w:val="left"/>
      <w:pPr>
        <w:ind w:left="1246" w:hanging="121"/>
      </w:pPr>
      <w:rPr>
        <w:rFonts w:hint="default"/>
        <w:lang w:val="en-US" w:eastAsia="en-US" w:bidi="en-US"/>
      </w:rPr>
    </w:lvl>
    <w:lvl w:ilvl="4" w:tplc="E05016CC">
      <w:numFmt w:val="bullet"/>
      <w:lvlText w:val="•"/>
      <w:lvlJc w:val="left"/>
      <w:pPr>
        <w:ind w:left="1582" w:hanging="121"/>
      </w:pPr>
      <w:rPr>
        <w:rFonts w:hint="default"/>
        <w:lang w:val="en-US" w:eastAsia="en-US" w:bidi="en-US"/>
      </w:rPr>
    </w:lvl>
    <w:lvl w:ilvl="5" w:tplc="EB4ED3FE">
      <w:numFmt w:val="bullet"/>
      <w:lvlText w:val="•"/>
      <w:lvlJc w:val="left"/>
      <w:pPr>
        <w:ind w:left="1917" w:hanging="121"/>
      </w:pPr>
      <w:rPr>
        <w:rFonts w:hint="default"/>
        <w:lang w:val="en-US" w:eastAsia="en-US" w:bidi="en-US"/>
      </w:rPr>
    </w:lvl>
    <w:lvl w:ilvl="6" w:tplc="30E6690E">
      <w:numFmt w:val="bullet"/>
      <w:lvlText w:val="•"/>
      <w:lvlJc w:val="left"/>
      <w:pPr>
        <w:ind w:left="2253" w:hanging="121"/>
      </w:pPr>
      <w:rPr>
        <w:rFonts w:hint="default"/>
        <w:lang w:val="en-US" w:eastAsia="en-US" w:bidi="en-US"/>
      </w:rPr>
    </w:lvl>
    <w:lvl w:ilvl="7" w:tplc="CB9257E2">
      <w:numFmt w:val="bullet"/>
      <w:lvlText w:val="•"/>
      <w:lvlJc w:val="left"/>
      <w:pPr>
        <w:ind w:left="2588" w:hanging="121"/>
      </w:pPr>
      <w:rPr>
        <w:rFonts w:hint="default"/>
        <w:lang w:val="en-US" w:eastAsia="en-US" w:bidi="en-US"/>
      </w:rPr>
    </w:lvl>
    <w:lvl w:ilvl="8" w:tplc="0A3CEFA8">
      <w:numFmt w:val="bullet"/>
      <w:lvlText w:val="•"/>
      <w:lvlJc w:val="left"/>
      <w:pPr>
        <w:ind w:left="2924" w:hanging="121"/>
      </w:pPr>
      <w:rPr>
        <w:rFonts w:hint="default"/>
        <w:lang w:val="en-US" w:eastAsia="en-US" w:bidi="en-US"/>
      </w:rPr>
    </w:lvl>
  </w:abstractNum>
  <w:num w:numId="1" w16cid:durableId="653949519">
    <w:abstractNumId w:val="4"/>
  </w:num>
  <w:num w:numId="2" w16cid:durableId="1795784095">
    <w:abstractNumId w:val="0"/>
  </w:num>
  <w:num w:numId="3" w16cid:durableId="889876575">
    <w:abstractNumId w:val="1"/>
  </w:num>
  <w:num w:numId="4" w16cid:durableId="1099644796">
    <w:abstractNumId w:val="2"/>
  </w:num>
  <w:num w:numId="5" w16cid:durableId="2146045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4D"/>
    <w:rsid w:val="0000377A"/>
    <w:rsid w:val="0001602C"/>
    <w:rsid w:val="00017A2A"/>
    <w:rsid w:val="00032189"/>
    <w:rsid w:val="0004195C"/>
    <w:rsid w:val="000502AE"/>
    <w:rsid w:val="00054681"/>
    <w:rsid w:val="000723B1"/>
    <w:rsid w:val="000A68AB"/>
    <w:rsid w:val="000C0DAD"/>
    <w:rsid w:val="000C239D"/>
    <w:rsid w:val="000E13D3"/>
    <w:rsid w:val="00110982"/>
    <w:rsid w:val="001219BC"/>
    <w:rsid w:val="00133BA2"/>
    <w:rsid w:val="00190AF1"/>
    <w:rsid w:val="001E51EF"/>
    <w:rsid w:val="00223983"/>
    <w:rsid w:val="00247C08"/>
    <w:rsid w:val="00260D9E"/>
    <w:rsid w:val="002803CF"/>
    <w:rsid w:val="002829EC"/>
    <w:rsid w:val="00290719"/>
    <w:rsid w:val="00291FD9"/>
    <w:rsid w:val="002949E8"/>
    <w:rsid w:val="002B09D8"/>
    <w:rsid w:val="002C69B8"/>
    <w:rsid w:val="00305C3F"/>
    <w:rsid w:val="00306D16"/>
    <w:rsid w:val="00307D8B"/>
    <w:rsid w:val="00313D91"/>
    <w:rsid w:val="00321342"/>
    <w:rsid w:val="00321760"/>
    <w:rsid w:val="00324302"/>
    <w:rsid w:val="003265C9"/>
    <w:rsid w:val="0032751F"/>
    <w:rsid w:val="00343DD4"/>
    <w:rsid w:val="00356E67"/>
    <w:rsid w:val="00364DC4"/>
    <w:rsid w:val="003979F4"/>
    <w:rsid w:val="003D0032"/>
    <w:rsid w:val="003D2BFF"/>
    <w:rsid w:val="003E77C1"/>
    <w:rsid w:val="00400363"/>
    <w:rsid w:val="00405B86"/>
    <w:rsid w:val="00405F96"/>
    <w:rsid w:val="00421F27"/>
    <w:rsid w:val="004363CF"/>
    <w:rsid w:val="0047571C"/>
    <w:rsid w:val="004773A2"/>
    <w:rsid w:val="004850B3"/>
    <w:rsid w:val="00495E8B"/>
    <w:rsid w:val="004A2779"/>
    <w:rsid w:val="004A2DBD"/>
    <w:rsid w:val="004B01AF"/>
    <w:rsid w:val="004B1361"/>
    <w:rsid w:val="004C6BAA"/>
    <w:rsid w:val="004D6C3C"/>
    <w:rsid w:val="00506B43"/>
    <w:rsid w:val="00511B84"/>
    <w:rsid w:val="005209D3"/>
    <w:rsid w:val="00553A69"/>
    <w:rsid w:val="00587132"/>
    <w:rsid w:val="005B0488"/>
    <w:rsid w:val="005B4C12"/>
    <w:rsid w:val="005C045B"/>
    <w:rsid w:val="005C16E3"/>
    <w:rsid w:val="005C187A"/>
    <w:rsid w:val="005C23FD"/>
    <w:rsid w:val="005D250A"/>
    <w:rsid w:val="005D621A"/>
    <w:rsid w:val="005E7F5E"/>
    <w:rsid w:val="006034E0"/>
    <w:rsid w:val="00630863"/>
    <w:rsid w:val="006605FD"/>
    <w:rsid w:val="00664ADC"/>
    <w:rsid w:val="006941AB"/>
    <w:rsid w:val="006B2C96"/>
    <w:rsid w:val="006B5D53"/>
    <w:rsid w:val="006D3307"/>
    <w:rsid w:val="006D5AEE"/>
    <w:rsid w:val="006D61C4"/>
    <w:rsid w:val="006D6D62"/>
    <w:rsid w:val="00706D9E"/>
    <w:rsid w:val="007111F4"/>
    <w:rsid w:val="00741FA8"/>
    <w:rsid w:val="0079454D"/>
    <w:rsid w:val="007A5FC3"/>
    <w:rsid w:val="007B2D8B"/>
    <w:rsid w:val="007C6AA0"/>
    <w:rsid w:val="007E48D8"/>
    <w:rsid w:val="007F1A32"/>
    <w:rsid w:val="0081219A"/>
    <w:rsid w:val="00856FF5"/>
    <w:rsid w:val="008705BD"/>
    <w:rsid w:val="0088792D"/>
    <w:rsid w:val="00891A39"/>
    <w:rsid w:val="008A34D6"/>
    <w:rsid w:val="008A609F"/>
    <w:rsid w:val="008A6CC1"/>
    <w:rsid w:val="008B53AB"/>
    <w:rsid w:val="008D3E5B"/>
    <w:rsid w:val="009028CE"/>
    <w:rsid w:val="00905755"/>
    <w:rsid w:val="009061BA"/>
    <w:rsid w:val="00931E86"/>
    <w:rsid w:val="0095543D"/>
    <w:rsid w:val="00957DF0"/>
    <w:rsid w:val="0098637C"/>
    <w:rsid w:val="00991208"/>
    <w:rsid w:val="009E0867"/>
    <w:rsid w:val="009E1002"/>
    <w:rsid w:val="009F026F"/>
    <w:rsid w:val="009F3935"/>
    <w:rsid w:val="00A04DDC"/>
    <w:rsid w:val="00A419E3"/>
    <w:rsid w:val="00A6549F"/>
    <w:rsid w:val="00A85A79"/>
    <w:rsid w:val="00A92901"/>
    <w:rsid w:val="00A94D32"/>
    <w:rsid w:val="00A97786"/>
    <w:rsid w:val="00AA0A1F"/>
    <w:rsid w:val="00AA5E55"/>
    <w:rsid w:val="00AB2A45"/>
    <w:rsid w:val="00AC4FEA"/>
    <w:rsid w:val="00AC7F21"/>
    <w:rsid w:val="00AD777E"/>
    <w:rsid w:val="00AE059A"/>
    <w:rsid w:val="00AE0E26"/>
    <w:rsid w:val="00AF570B"/>
    <w:rsid w:val="00B15D02"/>
    <w:rsid w:val="00B341AB"/>
    <w:rsid w:val="00B34699"/>
    <w:rsid w:val="00BA0B5E"/>
    <w:rsid w:val="00BA1B08"/>
    <w:rsid w:val="00BA4C7D"/>
    <w:rsid w:val="00BB5F82"/>
    <w:rsid w:val="00BB7980"/>
    <w:rsid w:val="00BD012D"/>
    <w:rsid w:val="00BD04FF"/>
    <w:rsid w:val="00BD0AEB"/>
    <w:rsid w:val="00BE0FD0"/>
    <w:rsid w:val="00C17CF8"/>
    <w:rsid w:val="00C32149"/>
    <w:rsid w:val="00C347B7"/>
    <w:rsid w:val="00C35390"/>
    <w:rsid w:val="00C35934"/>
    <w:rsid w:val="00C36EC8"/>
    <w:rsid w:val="00C51E1D"/>
    <w:rsid w:val="00C55311"/>
    <w:rsid w:val="00C61413"/>
    <w:rsid w:val="00C64F1C"/>
    <w:rsid w:val="00C86690"/>
    <w:rsid w:val="00C95BC6"/>
    <w:rsid w:val="00CD435A"/>
    <w:rsid w:val="00D24C59"/>
    <w:rsid w:val="00D254B3"/>
    <w:rsid w:val="00D40DF0"/>
    <w:rsid w:val="00D466E3"/>
    <w:rsid w:val="00D53529"/>
    <w:rsid w:val="00D64010"/>
    <w:rsid w:val="00D848CA"/>
    <w:rsid w:val="00D9177E"/>
    <w:rsid w:val="00DB1250"/>
    <w:rsid w:val="00DE46E0"/>
    <w:rsid w:val="00E04297"/>
    <w:rsid w:val="00E07ADA"/>
    <w:rsid w:val="00E17BFF"/>
    <w:rsid w:val="00E30B1D"/>
    <w:rsid w:val="00E36B21"/>
    <w:rsid w:val="00E52642"/>
    <w:rsid w:val="00E52756"/>
    <w:rsid w:val="00E64DC4"/>
    <w:rsid w:val="00E90738"/>
    <w:rsid w:val="00E921BC"/>
    <w:rsid w:val="00E965ED"/>
    <w:rsid w:val="00EA281C"/>
    <w:rsid w:val="00EA39EA"/>
    <w:rsid w:val="00ED16A6"/>
    <w:rsid w:val="00ED27F0"/>
    <w:rsid w:val="00ED2C3F"/>
    <w:rsid w:val="00EE17F9"/>
    <w:rsid w:val="00F04A88"/>
    <w:rsid w:val="00F1514A"/>
    <w:rsid w:val="00F235B0"/>
    <w:rsid w:val="00F24A5B"/>
    <w:rsid w:val="00F32A39"/>
    <w:rsid w:val="00F35EFC"/>
    <w:rsid w:val="00F36FAA"/>
    <w:rsid w:val="00F37CDD"/>
    <w:rsid w:val="00F437A5"/>
    <w:rsid w:val="00F76A74"/>
    <w:rsid w:val="00F86C73"/>
    <w:rsid w:val="00F86F95"/>
    <w:rsid w:val="00FB1696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E5B8"/>
  <w15:docId w15:val="{50E15548-107D-4926-BE38-9177A84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1602C"/>
    <w:pPr>
      <w:spacing w:before="47"/>
      <w:ind w:left="290" w:hanging="113"/>
      <w:outlineLvl w:val="1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13"/>
    </w:pPr>
  </w:style>
  <w:style w:type="table" w:styleId="TableGrid">
    <w:name w:val="Table Grid"/>
    <w:basedOn w:val="TableNormal"/>
    <w:uiPriority w:val="39"/>
    <w:rsid w:val="00F3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63CF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character" w:customStyle="1" w:styleId="A0">
    <w:name w:val="A0"/>
    <w:uiPriority w:val="99"/>
    <w:rsid w:val="004363CF"/>
    <w:rPr>
      <w:color w:val="4E575F"/>
      <w:sz w:val="28"/>
      <w:szCs w:val="28"/>
    </w:rPr>
  </w:style>
  <w:style w:type="paragraph" w:customStyle="1" w:styleId="Pa2">
    <w:name w:val="Pa2"/>
    <w:basedOn w:val="Normal"/>
    <w:next w:val="Normal"/>
    <w:uiPriority w:val="99"/>
    <w:rsid w:val="005D250A"/>
    <w:pPr>
      <w:widowControl/>
      <w:adjustRightInd w:val="0"/>
      <w:spacing w:line="241" w:lineRule="atLeast"/>
    </w:pPr>
    <w:rPr>
      <w:rFonts w:ascii="Calibri" w:eastAsiaTheme="minorHAnsi" w:hAnsi="Calibri" w:cs="Calibri"/>
      <w:sz w:val="24"/>
      <w:szCs w:val="24"/>
      <w:lang w:val="en-AU" w:bidi="ar-SA"/>
    </w:rPr>
  </w:style>
  <w:style w:type="character" w:customStyle="1" w:styleId="A2">
    <w:name w:val="A2"/>
    <w:uiPriority w:val="99"/>
    <w:rsid w:val="005D250A"/>
    <w:rPr>
      <w:color w:val="4E575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1602C"/>
    <w:rPr>
      <w:rFonts w:ascii="Arial" w:eastAsia="Arial" w:hAnsi="Arial" w:cs="Arial"/>
      <w:sz w:val="15"/>
      <w:szCs w:val="15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E07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ADA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07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ADA"/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B2A45"/>
    <w:rPr>
      <w:rFonts w:ascii="Arial" w:eastAsia="Arial" w:hAnsi="Arial" w:cs="Arial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70409-CE91-413A-B99C-7C8C8B74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Wells</dc:creator>
  <cp:lastModifiedBy>Tom Wells</cp:lastModifiedBy>
  <cp:revision>14</cp:revision>
  <dcterms:created xsi:type="dcterms:W3CDTF">2025-09-18T04:28:00Z</dcterms:created>
  <dcterms:modified xsi:type="dcterms:W3CDTF">2025-09-18T21:41:00Z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2019-02-21T00:00:00Z</vt:filetime>
  </property>
</Properties>
</file>