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DFDB7" w14:textId="0AD3F14F" w:rsidR="0079454D" w:rsidRDefault="00D9177E">
      <w:pPr>
        <w:pStyle w:val="BodyText"/>
        <w:rPr>
          <w:rFonts w:ascii="Times New Roman"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7416" behindDoc="1" locked="0" layoutInCell="1" allowOverlap="1" wp14:anchorId="4A1C3099" wp14:editId="5D9E643D">
                <wp:simplePos x="0" y="0"/>
                <wp:positionH relativeFrom="page">
                  <wp:posOffset>3856355</wp:posOffset>
                </wp:positionH>
                <wp:positionV relativeFrom="page">
                  <wp:posOffset>3588385</wp:posOffset>
                </wp:positionV>
                <wp:extent cx="3274060" cy="3175"/>
                <wp:effectExtent l="8255" t="6985" r="13335" b="889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3175"/>
                          <a:chOff x="6073" y="5651"/>
                          <a:chExt cx="5156" cy="5"/>
                        </a:xfrm>
                      </wpg:grpSpPr>
                      <wps:wsp>
                        <wps:cNvPr id="12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6073" y="5654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625" y="5654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6C82A1" id="Group 11" o:spid="_x0000_s1026" style="position:absolute;margin-left:303.65pt;margin-top:282.55pt;width:257.8pt;height:.25pt;z-index:-9064;mso-position-horizontal-relative:page;mso-position-vertical-relative:page" coordorigin="6073,5651" coordsize="5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">
                <v:line id="Line 13" o:spid="_x0000_s1027" style="position:absolute;visibility:visible;mso-wrap-style:square" from="6073,5654" to="7625,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" strokecolor="#8e8889" strokeweight=".25pt"/>
                <v:line id="Line 12" o:spid="_x0000_s1028" style="position:absolute;visibility:visible;mso-wrap-style:square" from="7625,5654" to="11228,56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" strokecolor="#8e8889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440" behindDoc="1" locked="0" layoutInCell="1" allowOverlap="1" wp14:anchorId="157484B4" wp14:editId="3213AC1B">
                <wp:simplePos x="0" y="0"/>
                <wp:positionH relativeFrom="page">
                  <wp:posOffset>3856355</wp:posOffset>
                </wp:positionH>
                <wp:positionV relativeFrom="page">
                  <wp:posOffset>3858260</wp:posOffset>
                </wp:positionV>
                <wp:extent cx="3274060" cy="3175"/>
                <wp:effectExtent l="8255" t="10160" r="13335" b="5715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3175"/>
                          <a:chOff x="6073" y="6076"/>
                          <a:chExt cx="5156" cy="5"/>
                        </a:xfrm>
                      </wpg:grpSpPr>
                      <wps:wsp>
                        <wps:cNvPr id="9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6073" y="6078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7625" y="6078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1B62A" id="Group 8" o:spid="_x0000_s1026" style="position:absolute;margin-left:303.65pt;margin-top:303.8pt;width:257.8pt;height:.25pt;z-index:-9040;mso-position-horizontal-relative:page;mso-position-vertical-relative:page" coordorigin="6073,6076" coordsize="5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">
                <v:line id="Line 10" o:spid="_x0000_s1027" style="position:absolute;visibility:visible;mso-wrap-style:square" from="6073,6078" to="7625,6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" strokecolor="#8e8889" strokeweight=".25pt"/>
                <v:line id="Line 9" o:spid="_x0000_s1028" style="position:absolute;visibility:visible;mso-wrap-style:square" from="7625,6078" to="11228,6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" strokecolor="#8e8889" strokeweight=".25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7464" behindDoc="1" locked="0" layoutInCell="1" allowOverlap="1" wp14:anchorId="37BE62EC" wp14:editId="1DE5CCC8">
                <wp:simplePos x="0" y="0"/>
                <wp:positionH relativeFrom="page">
                  <wp:posOffset>3856355</wp:posOffset>
                </wp:positionH>
                <wp:positionV relativeFrom="page">
                  <wp:posOffset>5001895</wp:posOffset>
                </wp:positionV>
                <wp:extent cx="3274060" cy="3175"/>
                <wp:effectExtent l="8255" t="10795" r="13335" b="508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3175"/>
                          <a:chOff x="6073" y="7877"/>
                          <a:chExt cx="5156" cy="5"/>
                        </a:xfrm>
                      </wpg:grpSpPr>
                      <wps:wsp>
                        <wps:cNvPr id="6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6073" y="7879"/>
                            <a:ext cx="1552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7625" y="7879"/>
                            <a:ext cx="3603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8E888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2F3288" id="Group 5" o:spid="_x0000_s1026" style="position:absolute;margin-left:303.65pt;margin-top:393.85pt;width:257.8pt;height:.25pt;z-index:-9016;mso-position-horizontal-relative:page;mso-position-vertical-relative:page" coordorigin="6073,7877" coordsize="5156,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">
                <v:line id="Line 7" o:spid="_x0000_s1027" style="position:absolute;visibility:visible;mso-wrap-style:square" from="6073,7879" to="7625,7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" strokecolor="#8e8889" strokeweight=".25pt"/>
                <v:line id="Line 6" o:spid="_x0000_s1028" style="position:absolute;visibility:visible;mso-wrap-style:square" from="7625,7879" to="11228,7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" strokecolor="#8e8889" strokeweight=".25pt"/>
                <w10:wrap anchorx="page" anchory="page"/>
              </v:group>
            </w:pict>
          </mc:Fallback>
        </mc:AlternateContent>
      </w:r>
    </w:p>
    <w:p w14:paraId="7BBC71B5" w14:textId="60D1086F" w:rsidR="0079454D" w:rsidRDefault="00F04A88" w:rsidP="0072278F">
      <w:pPr>
        <w:spacing w:before="113" w:line="223" w:lineRule="auto"/>
        <w:ind w:left="109" w:right="5701"/>
        <w:rPr>
          <w:b/>
          <w:color w:val="002060"/>
          <w:sz w:val="40"/>
        </w:rPr>
      </w:pPr>
      <w:r w:rsidRPr="00527C58">
        <w:rPr>
          <w:noProof/>
          <w:color w:val="7030A0"/>
        </w:rPr>
        <w:drawing>
          <wp:anchor distT="0" distB="0" distL="0" distR="0" simplePos="0" relativeHeight="1144" behindDoc="0" locked="0" layoutInCell="1" allowOverlap="1" wp14:anchorId="13EDCE5B" wp14:editId="2E2F5952">
            <wp:simplePos x="0" y="0"/>
            <wp:positionH relativeFrom="page">
              <wp:posOffset>4781550</wp:posOffset>
            </wp:positionH>
            <wp:positionV relativeFrom="paragraph">
              <wp:posOffset>224155</wp:posOffset>
            </wp:positionV>
            <wp:extent cx="2496147" cy="750589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6147" cy="7505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27C58" w:rsidRPr="00527C58">
        <w:rPr>
          <w:b/>
          <w:color w:val="7030A0"/>
          <w:sz w:val="40"/>
        </w:rPr>
        <w:t>Purple</w:t>
      </w:r>
      <w:r w:rsidR="00B475B2" w:rsidRPr="0072278F">
        <w:rPr>
          <w:b/>
          <w:color w:val="002060"/>
          <w:sz w:val="40"/>
        </w:rPr>
        <w:t xml:space="preserve"> </w:t>
      </w:r>
      <w:r w:rsidR="0015388E" w:rsidRPr="00527C58">
        <w:rPr>
          <w:b/>
          <w:color w:val="7030A0"/>
          <w:sz w:val="40"/>
        </w:rPr>
        <w:t>ndis</w:t>
      </w:r>
      <w:r w:rsidR="00AA0A1F" w:rsidRPr="00527C58">
        <w:rPr>
          <w:b/>
          <w:color w:val="7030A0"/>
          <w:sz w:val="40"/>
        </w:rPr>
        <w:t xml:space="preserve"> </w:t>
      </w:r>
      <w:r w:rsidR="005F31DF" w:rsidRPr="00527C58">
        <w:rPr>
          <w:b/>
          <w:color w:val="7030A0"/>
          <w:sz w:val="40"/>
        </w:rPr>
        <w:t>Resident</w:t>
      </w:r>
      <w:r w:rsidR="004F4294" w:rsidRPr="00527C58">
        <w:rPr>
          <w:b/>
          <w:color w:val="7030A0"/>
          <w:sz w:val="40"/>
        </w:rPr>
        <w:t>ial Loan</w:t>
      </w:r>
    </w:p>
    <w:p w14:paraId="1692D7A7" w14:textId="53912625" w:rsidR="005E7441" w:rsidRPr="00527C58" w:rsidRDefault="005E7441" w:rsidP="00557C3E">
      <w:pPr>
        <w:spacing w:before="113" w:after="160" w:line="223" w:lineRule="auto"/>
        <w:ind w:left="109" w:right="5701"/>
        <w:rPr>
          <w:noProof/>
          <w:color w:val="7030A0"/>
        </w:rPr>
      </w:pPr>
      <w:r w:rsidRPr="00527C58">
        <w:rPr>
          <w:noProof/>
          <w:color w:val="7030A0"/>
        </w:rPr>
        <w:t>Altdoc or Full Documentation</w:t>
      </w:r>
      <w:r w:rsidR="00527C58" w:rsidRPr="00527C58">
        <w:rPr>
          <w:noProof/>
          <w:color w:val="7030A0"/>
        </w:rPr>
        <w:t xml:space="preserve"> – </w:t>
      </w:r>
      <w:r w:rsidR="00527C58" w:rsidRPr="00562F46">
        <w:rPr>
          <w:b/>
          <w:bCs/>
          <w:noProof/>
          <w:color w:val="7030A0"/>
        </w:rPr>
        <w:t>Max 75% LVR</w:t>
      </w:r>
    </w:p>
    <w:p w14:paraId="78860A62" w14:textId="44E27D02" w:rsidR="00BC726C" w:rsidRPr="00BC726C" w:rsidRDefault="00BC726C" w:rsidP="008A609F">
      <w:pPr>
        <w:tabs>
          <w:tab w:val="left" w:pos="1443"/>
          <w:tab w:val="left" w:pos="4395"/>
        </w:tabs>
        <w:spacing w:before="113" w:line="223" w:lineRule="auto"/>
        <w:ind w:left="109" w:right="6385"/>
        <w:rPr>
          <w:b/>
          <w:sz w:val="40"/>
        </w:rPr>
      </w:pPr>
      <w:r>
        <w:rPr>
          <w:b/>
          <w:sz w:val="40"/>
        </w:rPr>
        <w:t>PRODUCT FACT SHEET</w:t>
      </w:r>
    </w:p>
    <w:p w14:paraId="01E04ED8" w14:textId="13C3DF60" w:rsidR="0079454D" w:rsidRPr="00BC726C" w:rsidRDefault="000502AE">
      <w:pPr>
        <w:pStyle w:val="BodyText"/>
        <w:spacing w:line="207" w:lineRule="exact"/>
        <w:ind w:left="109"/>
      </w:pPr>
      <w:r w:rsidRPr="00BC726C">
        <w:rPr>
          <w:color w:val="3F3F3F"/>
          <w:w w:val="95"/>
        </w:rPr>
        <w:t>UPDATED:</w:t>
      </w:r>
      <w:r w:rsidR="003F7407">
        <w:rPr>
          <w:color w:val="3F3F3F"/>
          <w:w w:val="95"/>
        </w:rPr>
        <w:t xml:space="preserve"> </w:t>
      </w:r>
      <w:r w:rsidR="00A9232F">
        <w:rPr>
          <w:rFonts w:ascii="Lucida Sans"/>
          <w:color w:val="3F3F3F"/>
          <w:w w:val="95"/>
        </w:rPr>
        <w:t>1</w:t>
      </w:r>
      <w:r w:rsidR="00A676A7">
        <w:rPr>
          <w:rFonts w:ascii="Lucida Sans"/>
          <w:color w:val="3F3F3F"/>
          <w:w w:val="95"/>
        </w:rPr>
        <w:t>5</w:t>
      </w:r>
      <w:r w:rsidR="00BC36A4">
        <w:rPr>
          <w:rFonts w:ascii="Lucida Sans"/>
          <w:color w:val="3F3F3F"/>
          <w:w w:val="95"/>
        </w:rPr>
        <w:t xml:space="preserve"> </w:t>
      </w:r>
      <w:r w:rsidR="00A676A7">
        <w:rPr>
          <w:rFonts w:ascii="Lucida Sans"/>
          <w:color w:val="3F3F3F"/>
          <w:w w:val="95"/>
        </w:rPr>
        <w:t>September</w:t>
      </w:r>
      <w:r w:rsidR="00BC36A4">
        <w:rPr>
          <w:rFonts w:ascii="Lucida Sans"/>
          <w:color w:val="3F3F3F"/>
          <w:w w:val="95"/>
        </w:rPr>
        <w:t xml:space="preserve"> 2025</w:t>
      </w:r>
    </w:p>
    <w:p w14:paraId="153D56A4" w14:textId="77777777" w:rsidR="0079454D" w:rsidRPr="00BC726C" w:rsidRDefault="0079454D">
      <w:pPr>
        <w:pStyle w:val="BodyText"/>
        <w:spacing w:before="13"/>
        <w:rPr>
          <w:sz w:val="8"/>
          <w:szCs w:val="8"/>
        </w:rPr>
      </w:pPr>
    </w:p>
    <w:p w14:paraId="63B420D8" w14:textId="798EBA6B" w:rsidR="006D5AEE" w:rsidRPr="004F4294" w:rsidRDefault="0001602C" w:rsidP="00ED5AD9">
      <w:pPr>
        <w:pStyle w:val="Heading2"/>
        <w:spacing w:before="81" w:line="302" w:lineRule="auto"/>
        <w:ind w:left="120" w:right="60" w:firstLine="0"/>
        <w:rPr>
          <w:color w:val="FF0000"/>
          <w:sz w:val="16"/>
          <w:szCs w:val="16"/>
        </w:rPr>
      </w:pPr>
      <w:r w:rsidRPr="004F4294">
        <w:rPr>
          <w:w w:val="105"/>
          <w:sz w:val="16"/>
          <w:szCs w:val="16"/>
        </w:rPr>
        <w:t xml:space="preserve">Allstate </w:t>
      </w:r>
      <w:r w:rsidR="00527C58">
        <w:rPr>
          <w:w w:val="105"/>
          <w:sz w:val="16"/>
          <w:szCs w:val="16"/>
        </w:rPr>
        <w:t>Purple</w:t>
      </w:r>
      <w:r w:rsidR="00D227A2">
        <w:rPr>
          <w:w w:val="105"/>
          <w:sz w:val="16"/>
          <w:szCs w:val="16"/>
        </w:rPr>
        <w:t xml:space="preserve"> </w:t>
      </w:r>
      <w:r w:rsidR="0015388E">
        <w:rPr>
          <w:w w:val="105"/>
          <w:sz w:val="16"/>
          <w:szCs w:val="16"/>
        </w:rPr>
        <w:t>ndis</w:t>
      </w:r>
      <w:r w:rsidR="005F31DF">
        <w:rPr>
          <w:w w:val="105"/>
          <w:sz w:val="16"/>
          <w:szCs w:val="16"/>
        </w:rPr>
        <w:t xml:space="preserve"> Residential</w:t>
      </w:r>
      <w:r w:rsidR="0083393D">
        <w:rPr>
          <w:w w:val="105"/>
          <w:sz w:val="16"/>
          <w:szCs w:val="16"/>
        </w:rPr>
        <w:t xml:space="preserve"> Investment </w:t>
      </w:r>
      <w:r w:rsidR="00032278">
        <w:rPr>
          <w:spacing w:val="-9"/>
          <w:w w:val="105"/>
          <w:sz w:val="16"/>
          <w:szCs w:val="16"/>
        </w:rPr>
        <w:t>L</w:t>
      </w:r>
      <w:r w:rsidRPr="004F4294">
        <w:rPr>
          <w:w w:val="105"/>
          <w:sz w:val="16"/>
          <w:szCs w:val="16"/>
        </w:rPr>
        <w:t>oan</w:t>
      </w:r>
      <w:r w:rsidR="00C94FF1">
        <w:rPr>
          <w:w w:val="105"/>
          <w:sz w:val="16"/>
          <w:szCs w:val="16"/>
        </w:rPr>
        <w:t xml:space="preserve"> is specifically for established NDIS securities </w:t>
      </w:r>
      <w:r w:rsidR="00B219BD">
        <w:rPr>
          <w:w w:val="105"/>
          <w:sz w:val="16"/>
          <w:szCs w:val="16"/>
        </w:rPr>
        <w:t>using a Commercial Long Form valuation</w:t>
      </w:r>
      <w:r w:rsidR="00E76B7F">
        <w:rPr>
          <w:w w:val="105"/>
          <w:sz w:val="16"/>
          <w:szCs w:val="16"/>
        </w:rPr>
        <w:t xml:space="preserve"> </w:t>
      </w:r>
      <w:r w:rsidR="00870C91">
        <w:rPr>
          <w:w w:val="105"/>
          <w:sz w:val="16"/>
          <w:szCs w:val="16"/>
        </w:rPr>
        <w:t xml:space="preserve">but not NDIS income – standard market rental is used as per the valuation </w:t>
      </w:r>
      <w:r w:rsidR="000D1BD4">
        <w:rPr>
          <w:w w:val="105"/>
          <w:sz w:val="16"/>
          <w:szCs w:val="16"/>
        </w:rPr>
        <w:t>with stand</w:t>
      </w:r>
      <w:r w:rsidR="00E169AB">
        <w:rPr>
          <w:w w:val="105"/>
          <w:sz w:val="16"/>
          <w:szCs w:val="16"/>
        </w:rPr>
        <w:t xml:space="preserve">ard market valuation (with </w:t>
      </w:r>
      <w:r w:rsidR="00DE42D5">
        <w:rPr>
          <w:w w:val="105"/>
          <w:sz w:val="16"/>
          <w:szCs w:val="16"/>
        </w:rPr>
        <w:t xml:space="preserve">cost </w:t>
      </w:r>
      <w:r w:rsidR="00E169AB">
        <w:rPr>
          <w:w w:val="105"/>
          <w:sz w:val="16"/>
          <w:szCs w:val="16"/>
        </w:rPr>
        <w:t>allowance to revert</w:t>
      </w:r>
      <w:r w:rsidR="00DE42D5">
        <w:rPr>
          <w:w w:val="105"/>
          <w:sz w:val="16"/>
          <w:szCs w:val="16"/>
        </w:rPr>
        <w:t xml:space="preserve"> back to standard home)</w:t>
      </w:r>
      <w:r w:rsidR="00DF15EE">
        <w:rPr>
          <w:w w:val="105"/>
          <w:sz w:val="16"/>
          <w:szCs w:val="16"/>
        </w:rPr>
        <w:t>.</w:t>
      </w:r>
    </w:p>
    <w:p w14:paraId="47A16CDC" w14:textId="77777777" w:rsidR="0079454D" w:rsidRPr="001E1F84" w:rsidRDefault="0079454D">
      <w:pPr>
        <w:pStyle w:val="BodyText"/>
        <w:spacing w:before="8"/>
        <w:rPr>
          <w:sz w:val="10"/>
          <w:szCs w:val="10"/>
        </w:rPr>
      </w:pPr>
    </w:p>
    <w:tbl>
      <w:tblPr>
        <w:tblW w:w="0" w:type="auto"/>
        <w:tblInd w:w="122" w:type="dxa"/>
        <w:tblBorders>
          <w:top w:val="single" w:sz="2" w:space="0" w:color="8E8889"/>
          <w:left w:val="single" w:sz="2" w:space="0" w:color="8E8889"/>
          <w:bottom w:val="single" w:sz="2" w:space="0" w:color="8E8889"/>
          <w:right w:val="single" w:sz="2" w:space="0" w:color="8E8889"/>
          <w:insideH w:val="single" w:sz="6" w:space="0" w:color="8E8889"/>
          <w:insideV w:val="single" w:sz="6" w:space="0" w:color="8E888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0"/>
        <w:gridCol w:w="4137"/>
        <w:gridCol w:w="142"/>
        <w:gridCol w:w="1571"/>
        <w:gridCol w:w="3957"/>
      </w:tblGrid>
      <w:tr w:rsidR="00DA3D8F" w14:paraId="75436390" w14:textId="77777777" w:rsidTr="00F77D1F">
        <w:trPr>
          <w:trHeight w:val="419"/>
        </w:trPr>
        <w:tc>
          <w:tcPr>
            <w:tcW w:w="1550" w:type="dxa"/>
            <w:vMerge w:val="restart"/>
            <w:shd w:val="clear" w:color="auto" w:fill="7030A0"/>
          </w:tcPr>
          <w:p w14:paraId="16DA0F56" w14:textId="3495A37C" w:rsidR="00DA3D8F" w:rsidRDefault="00DA3D8F" w:rsidP="00AB3215">
            <w:pPr>
              <w:pStyle w:val="TableParagraph"/>
              <w:spacing w:before="100" w:after="100" w:line="235" w:lineRule="auto"/>
              <w:ind w:right="558"/>
              <w:rPr>
                <w:sz w:val="16"/>
              </w:rPr>
            </w:pPr>
            <w:r>
              <w:rPr>
                <w:color w:val="FFFFFF"/>
                <w:sz w:val="16"/>
              </w:rPr>
              <w:t>Loan Purpose:</w:t>
            </w:r>
          </w:p>
        </w:tc>
        <w:tc>
          <w:tcPr>
            <w:tcW w:w="4137" w:type="dxa"/>
            <w:vMerge w:val="restart"/>
            <w:shd w:val="clear" w:color="auto" w:fill="ECEAEA"/>
          </w:tcPr>
          <w:p w14:paraId="468B20CC" w14:textId="3EC5024A" w:rsidR="00DA3D8F" w:rsidRPr="00973FF7" w:rsidRDefault="00DA3D8F" w:rsidP="00AB3215">
            <w:pPr>
              <w:pStyle w:val="TableParagraph"/>
              <w:spacing w:before="100" w:after="100" w:line="278" w:lineRule="auto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>Purchase, refinance, debt consolidation, ATO debt, equity release or Cash Out on an NDIS established property (OO or Inv).</w:t>
            </w:r>
          </w:p>
        </w:tc>
        <w:tc>
          <w:tcPr>
            <w:tcW w:w="142" w:type="dxa"/>
            <w:vMerge w:val="restart"/>
          </w:tcPr>
          <w:p w14:paraId="627601AE" w14:textId="77777777" w:rsidR="00DA3D8F" w:rsidRDefault="00DA3D8F" w:rsidP="00AB3215">
            <w:pPr>
              <w:pStyle w:val="TableParagraph"/>
              <w:spacing w:before="100" w:after="100"/>
              <w:rPr>
                <w:rFonts w:ascii="Times New Roman"/>
                <w:sz w:val="16"/>
              </w:rPr>
            </w:pPr>
          </w:p>
        </w:tc>
        <w:tc>
          <w:tcPr>
            <w:tcW w:w="1571" w:type="dxa"/>
            <w:shd w:val="clear" w:color="auto" w:fill="7030A0"/>
          </w:tcPr>
          <w:p w14:paraId="642B6CAA" w14:textId="77777777" w:rsidR="00DA3D8F" w:rsidRDefault="00DA3D8F" w:rsidP="00AB3215">
            <w:pPr>
              <w:pStyle w:val="TableParagraph"/>
              <w:spacing w:before="100" w:after="100"/>
              <w:rPr>
                <w:sz w:val="16"/>
              </w:rPr>
            </w:pPr>
            <w:r>
              <w:rPr>
                <w:color w:val="FFFFFF"/>
                <w:sz w:val="16"/>
              </w:rPr>
              <w:t>Credit History:</w:t>
            </w:r>
          </w:p>
        </w:tc>
        <w:tc>
          <w:tcPr>
            <w:tcW w:w="3957" w:type="dxa"/>
            <w:shd w:val="clear" w:color="auto" w:fill="ECEAEA"/>
          </w:tcPr>
          <w:p w14:paraId="70F4AAA5" w14:textId="6FEEB30B" w:rsidR="00DA3D8F" w:rsidRPr="00973FF7" w:rsidRDefault="00DA3D8F" w:rsidP="00AB3215">
            <w:pPr>
              <w:pStyle w:val="TableParagraph"/>
              <w:spacing w:before="100" w:after="10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>Clean Credit required. Max 2 defaults with combined value &lt;$500 allowed.</w:t>
            </w:r>
          </w:p>
        </w:tc>
      </w:tr>
      <w:tr w:rsidR="00DA3D8F" w14:paraId="0BF21F7A" w14:textId="77777777" w:rsidTr="00DA38DC">
        <w:trPr>
          <w:trHeight w:val="394"/>
        </w:trPr>
        <w:tc>
          <w:tcPr>
            <w:tcW w:w="1550" w:type="dxa"/>
            <w:vMerge/>
            <w:shd w:val="clear" w:color="auto" w:fill="7030A0"/>
          </w:tcPr>
          <w:p w14:paraId="354F939C" w14:textId="77777777" w:rsidR="00DA3D8F" w:rsidRDefault="00DA3D8F" w:rsidP="00AB3215">
            <w:pPr>
              <w:spacing w:before="100" w:after="100"/>
              <w:ind w:left="113"/>
              <w:rPr>
                <w:sz w:val="2"/>
                <w:szCs w:val="2"/>
              </w:rPr>
            </w:pPr>
          </w:p>
        </w:tc>
        <w:tc>
          <w:tcPr>
            <w:tcW w:w="4137" w:type="dxa"/>
            <w:vMerge/>
            <w:shd w:val="clear" w:color="auto" w:fill="ECEAEA"/>
          </w:tcPr>
          <w:p w14:paraId="48DE8ABC" w14:textId="77777777" w:rsidR="00DA3D8F" w:rsidRPr="00973FF7" w:rsidRDefault="00DA3D8F" w:rsidP="00AB3215">
            <w:pPr>
              <w:spacing w:before="100" w:after="100"/>
              <w:ind w:left="113"/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142" w:type="dxa"/>
            <w:vMerge/>
          </w:tcPr>
          <w:p w14:paraId="1C7D1794" w14:textId="77777777" w:rsidR="00DA3D8F" w:rsidRDefault="00DA3D8F" w:rsidP="00AB3215">
            <w:pPr>
              <w:spacing w:before="100" w:after="10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05FE54F9" w14:textId="6E961EAB" w:rsidR="00DA3D8F" w:rsidRDefault="00DA3D8F" w:rsidP="00AB3215">
            <w:pPr>
              <w:pStyle w:val="TableParagraph"/>
              <w:spacing w:before="100" w:after="100"/>
              <w:rPr>
                <w:sz w:val="16"/>
              </w:rPr>
            </w:pPr>
            <w:r>
              <w:rPr>
                <w:color w:val="FFFFFF"/>
                <w:sz w:val="16"/>
              </w:rPr>
              <w:t>Application Fee:</w:t>
            </w:r>
          </w:p>
        </w:tc>
        <w:tc>
          <w:tcPr>
            <w:tcW w:w="3957" w:type="dxa"/>
            <w:shd w:val="clear" w:color="auto" w:fill="ECEAEA"/>
          </w:tcPr>
          <w:p w14:paraId="090E7D85" w14:textId="7CB62B70" w:rsidR="00DA3D8F" w:rsidRPr="00973FF7" w:rsidRDefault="00DA3D8F" w:rsidP="00AB3215">
            <w:pPr>
              <w:pStyle w:val="TableParagraph"/>
              <w:spacing w:before="100" w:after="10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>1.</w:t>
            </w:r>
            <w:r w:rsidR="00A676A7">
              <w:rPr>
                <w:color w:val="404040" w:themeColor="text1" w:themeTint="BF"/>
                <w:sz w:val="16"/>
              </w:rPr>
              <w:t>4</w:t>
            </w:r>
            <w:r w:rsidRPr="00973FF7">
              <w:rPr>
                <w:color w:val="404040" w:themeColor="text1" w:themeTint="BF"/>
                <w:sz w:val="16"/>
              </w:rPr>
              <w:t>0% of loan amount - Payable at settlement.</w:t>
            </w:r>
          </w:p>
        </w:tc>
      </w:tr>
      <w:tr w:rsidR="00DA3D8F" w14:paraId="111130B4" w14:textId="77777777" w:rsidTr="00672427">
        <w:trPr>
          <w:trHeight w:val="443"/>
        </w:trPr>
        <w:tc>
          <w:tcPr>
            <w:tcW w:w="1550" w:type="dxa"/>
            <w:vMerge w:val="restart"/>
            <w:shd w:val="clear" w:color="auto" w:fill="7030A0"/>
          </w:tcPr>
          <w:p w14:paraId="62AE3BB9" w14:textId="77777777" w:rsidR="00DA3D8F" w:rsidRDefault="00DA3D8F" w:rsidP="00C560A7">
            <w:pPr>
              <w:pStyle w:val="TableParagraph"/>
              <w:spacing w:before="100" w:after="120"/>
              <w:rPr>
                <w:sz w:val="16"/>
              </w:rPr>
            </w:pPr>
            <w:r>
              <w:rPr>
                <w:color w:val="FFFFFF"/>
                <w:sz w:val="16"/>
              </w:rPr>
              <w:t>Loan Amount:</w:t>
            </w:r>
          </w:p>
        </w:tc>
        <w:tc>
          <w:tcPr>
            <w:tcW w:w="4137" w:type="dxa"/>
            <w:vMerge w:val="restart"/>
            <w:shd w:val="clear" w:color="auto" w:fill="ECEAEA"/>
          </w:tcPr>
          <w:p w14:paraId="51360F15" w14:textId="625DCFD2" w:rsidR="00DA3D8F" w:rsidRPr="00973FF7" w:rsidRDefault="00DA3D8F" w:rsidP="00C560A7">
            <w:pPr>
              <w:pStyle w:val="TableParagraph"/>
              <w:spacing w:before="100" w:after="120" w:line="278" w:lineRule="auto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>Minimum:  $  100,000                                                               Maximum: $3,000,000  [75% LVR]                                Established property only.</w:t>
            </w:r>
          </w:p>
        </w:tc>
        <w:tc>
          <w:tcPr>
            <w:tcW w:w="142" w:type="dxa"/>
            <w:vMerge/>
          </w:tcPr>
          <w:p w14:paraId="21ED8188" w14:textId="77777777" w:rsidR="00DA3D8F" w:rsidRDefault="00DA3D8F" w:rsidP="00C560A7">
            <w:pPr>
              <w:spacing w:before="100" w:after="12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2F8EFD46" w14:textId="77777777" w:rsidR="00DA3D8F" w:rsidRDefault="00DA3D8F" w:rsidP="00C560A7">
            <w:pPr>
              <w:pStyle w:val="TableParagraph"/>
              <w:spacing w:before="100" w:after="120"/>
              <w:rPr>
                <w:sz w:val="16"/>
              </w:rPr>
            </w:pPr>
            <w:r>
              <w:rPr>
                <w:color w:val="FFFFFF"/>
                <w:sz w:val="16"/>
              </w:rPr>
              <w:t>Legal Fees:</w:t>
            </w:r>
          </w:p>
        </w:tc>
        <w:tc>
          <w:tcPr>
            <w:tcW w:w="3957" w:type="dxa"/>
            <w:shd w:val="clear" w:color="auto" w:fill="ECEAEA"/>
          </w:tcPr>
          <w:p w14:paraId="1B97291E" w14:textId="5ECD4DF8" w:rsidR="00DA3D8F" w:rsidRPr="00973FF7" w:rsidRDefault="00DA3D8F" w:rsidP="00C560A7">
            <w:pPr>
              <w:pStyle w:val="TableParagraph"/>
              <w:spacing w:before="100" w:after="12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 xml:space="preserve">Allow min $2,000 +GST for Company / Trusts.                              </w:t>
            </w:r>
          </w:p>
        </w:tc>
      </w:tr>
      <w:tr w:rsidR="00DA3D8F" w14:paraId="5FC204D3" w14:textId="77777777" w:rsidTr="00672427">
        <w:trPr>
          <w:trHeight w:val="263"/>
        </w:trPr>
        <w:tc>
          <w:tcPr>
            <w:tcW w:w="1550" w:type="dxa"/>
            <w:vMerge/>
            <w:shd w:val="clear" w:color="auto" w:fill="7030A0"/>
          </w:tcPr>
          <w:p w14:paraId="5B8623D5" w14:textId="77777777" w:rsidR="00DA3D8F" w:rsidRDefault="00DA3D8F" w:rsidP="00C560A7">
            <w:pPr>
              <w:spacing w:before="100" w:after="120"/>
              <w:ind w:left="113"/>
              <w:rPr>
                <w:sz w:val="2"/>
                <w:szCs w:val="2"/>
              </w:rPr>
            </w:pPr>
          </w:p>
        </w:tc>
        <w:tc>
          <w:tcPr>
            <w:tcW w:w="4137" w:type="dxa"/>
            <w:vMerge/>
            <w:shd w:val="clear" w:color="auto" w:fill="ECEAEA"/>
          </w:tcPr>
          <w:p w14:paraId="4419964B" w14:textId="77777777" w:rsidR="00DA3D8F" w:rsidRPr="00973FF7" w:rsidRDefault="00DA3D8F" w:rsidP="00C560A7">
            <w:pPr>
              <w:spacing w:before="100" w:after="120"/>
              <w:ind w:left="113"/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142" w:type="dxa"/>
            <w:vMerge/>
          </w:tcPr>
          <w:p w14:paraId="24A79503" w14:textId="77777777" w:rsidR="00DA3D8F" w:rsidRDefault="00DA3D8F" w:rsidP="00C560A7">
            <w:pPr>
              <w:spacing w:before="100" w:after="12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vMerge w:val="restart"/>
            <w:shd w:val="clear" w:color="auto" w:fill="7030A0"/>
          </w:tcPr>
          <w:p w14:paraId="4C0C5ECB" w14:textId="77777777" w:rsidR="00DA3D8F" w:rsidRDefault="00DA3D8F" w:rsidP="00C560A7">
            <w:pPr>
              <w:pStyle w:val="TableParagraph"/>
              <w:spacing w:before="100" w:after="120"/>
              <w:rPr>
                <w:sz w:val="16"/>
              </w:rPr>
            </w:pPr>
            <w:r>
              <w:rPr>
                <w:color w:val="FFFFFF"/>
                <w:sz w:val="16"/>
              </w:rPr>
              <w:t>Valuation Fee:</w:t>
            </w:r>
          </w:p>
        </w:tc>
        <w:tc>
          <w:tcPr>
            <w:tcW w:w="3957" w:type="dxa"/>
            <w:vMerge w:val="restart"/>
            <w:shd w:val="clear" w:color="auto" w:fill="ECEAEA"/>
          </w:tcPr>
          <w:p w14:paraId="119D6F42" w14:textId="061423C9" w:rsidR="00DA3D8F" w:rsidRPr="00973FF7" w:rsidRDefault="00DA3D8F" w:rsidP="00C560A7">
            <w:pPr>
              <w:pStyle w:val="TableParagraph"/>
              <w:spacing w:before="100" w:after="12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 xml:space="preserve">Commercial valuation at cost – approx. $3,500 - $3.500 depending on plans (allow min. 2 weeks for val). Must include Alternate Use value. </w:t>
            </w:r>
          </w:p>
        </w:tc>
      </w:tr>
      <w:tr w:rsidR="00DA3D8F" w14:paraId="10C53029" w14:textId="77777777" w:rsidTr="00DC4815">
        <w:trPr>
          <w:trHeight w:val="420"/>
        </w:trPr>
        <w:tc>
          <w:tcPr>
            <w:tcW w:w="1550" w:type="dxa"/>
            <w:vMerge w:val="restart"/>
            <w:shd w:val="clear" w:color="auto" w:fill="7030A0"/>
          </w:tcPr>
          <w:p w14:paraId="3140084A" w14:textId="77777777" w:rsidR="00DA3D8F" w:rsidRDefault="00DA3D8F" w:rsidP="00C560A7">
            <w:pPr>
              <w:pStyle w:val="TableParagraph"/>
              <w:spacing w:before="100" w:after="120" w:line="235" w:lineRule="auto"/>
              <w:rPr>
                <w:sz w:val="16"/>
              </w:rPr>
            </w:pPr>
            <w:r>
              <w:rPr>
                <w:color w:val="FFFFFF"/>
                <w:sz w:val="16"/>
              </w:rPr>
              <w:t>Loan to Value Ratio:</w:t>
            </w:r>
          </w:p>
        </w:tc>
        <w:tc>
          <w:tcPr>
            <w:tcW w:w="4137" w:type="dxa"/>
            <w:vMerge w:val="restart"/>
            <w:shd w:val="clear" w:color="auto" w:fill="ECEAEA"/>
          </w:tcPr>
          <w:p w14:paraId="008ADF78" w14:textId="45A11BFB" w:rsidR="00DA3D8F" w:rsidRPr="00973FF7" w:rsidRDefault="00DA3D8F" w:rsidP="00C560A7">
            <w:pPr>
              <w:pStyle w:val="TableParagraph"/>
              <w:spacing w:before="100" w:after="120" w:line="278" w:lineRule="auto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 xml:space="preserve">75% LVR of Alternate Use Value – See  Example:                                                            Purchase Price:   $1,000,000                                                                              NDIS Valuation = $   980,000                                                   Alternate Use    = $   700,000                                                            Maximum Loan = $   525,000   [75% LVR – location dependant] </w:t>
            </w:r>
          </w:p>
        </w:tc>
        <w:tc>
          <w:tcPr>
            <w:tcW w:w="142" w:type="dxa"/>
            <w:vMerge/>
          </w:tcPr>
          <w:p w14:paraId="6AABB73D" w14:textId="77777777" w:rsidR="00DA3D8F" w:rsidRDefault="00DA3D8F" w:rsidP="00C560A7">
            <w:pPr>
              <w:spacing w:before="100" w:after="12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shd w:val="clear" w:color="auto" w:fill="7030A0"/>
          </w:tcPr>
          <w:p w14:paraId="58A1854A" w14:textId="77777777" w:rsidR="00DA3D8F" w:rsidRDefault="00DA3D8F" w:rsidP="00C560A7">
            <w:pPr>
              <w:spacing w:before="100" w:after="120"/>
              <w:ind w:left="113"/>
              <w:rPr>
                <w:sz w:val="2"/>
                <w:szCs w:val="2"/>
              </w:rPr>
            </w:pPr>
          </w:p>
        </w:tc>
        <w:tc>
          <w:tcPr>
            <w:tcW w:w="3957" w:type="dxa"/>
            <w:vMerge/>
            <w:shd w:val="clear" w:color="auto" w:fill="ECEAEA"/>
          </w:tcPr>
          <w:p w14:paraId="47833CED" w14:textId="77777777" w:rsidR="00DA3D8F" w:rsidRPr="00973FF7" w:rsidRDefault="00DA3D8F" w:rsidP="00C560A7">
            <w:pPr>
              <w:spacing w:before="100" w:after="120"/>
              <w:ind w:left="113"/>
              <w:rPr>
                <w:color w:val="404040" w:themeColor="text1" w:themeTint="BF"/>
                <w:sz w:val="2"/>
                <w:szCs w:val="2"/>
              </w:rPr>
            </w:pPr>
          </w:p>
        </w:tc>
      </w:tr>
      <w:tr w:rsidR="00DA3D8F" w14:paraId="5022CA36" w14:textId="77777777" w:rsidTr="0024288C">
        <w:trPr>
          <w:trHeight w:val="458"/>
        </w:trPr>
        <w:tc>
          <w:tcPr>
            <w:tcW w:w="1550" w:type="dxa"/>
            <w:vMerge/>
            <w:shd w:val="clear" w:color="auto" w:fill="7030A0"/>
          </w:tcPr>
          <w:p w14:paraId="77D5431F" w14:textId="77777777" w:rsidR="00DA3D8F" w:rsidRDefault="00DA3D8F" w:rsidP="00C560A7">
            <w:pPr>
              <w:spacing w:before="100" w:after="120"/>
              <w:ind w:left="113"/>
              <w:rPr>
                <w:sz w:val="2"/>
                <w:szCs w:val="2"/>
              </w:rPr>
            </w:pPr>
          </w:p>
        </w:tc>
        <w:tc>
          <w:tcPr>
            <w:tcW w:w="4137" w:type="dxa"/>
            <w:vMerge/>
            <w:shd w:val="clear" w:color="auto" w:fill="ECEAEA"/>
          </w:tcPr>
          <w:p w14:paraId="4B7CFF3C" w14:textId="77777777" w:rsidR="00DA3D8F" w:rsidRPr="00973FF7" w:rsidRDefault="00DA3D8F" w:rsidP="00C560A7">
            <w:pPr>
              <w:spacing w:before="100" w:after="120"/>
              <w:ind w:left="113"/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142" w:type="dxa"/>
            <w:vMerge/>
          </w:tcPr>
          <w:p w14:paraId="15588E1F" w14:textId="77777777" w:rsidR="00DA3D8F" w:rsidRDefault="00DA3D8F" w:rsidP="00C560A7">
            <w:pPr>
              <w:spacing w:before="100" w:after="12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0150EF44" w14:textId="77777777" w:rsidR="00DA3D8F" w:rsidRDefault="00DA3D8F" w:rsidP="00C560A7">
            <w:pPr>
              <w:pStyle w:val="TableParagraph"/>
              <w:spacing w:before="100" w:after="120"/>
              <w:rPr>
                <w:sz w:val="16"/>
              </w:rPr>
            </w:pPr>
            <w:r>
              <w:rPr>
                <w:color w:val="FFFFFF"/>
                <w:sz w:val="16"/>
              </w:rPr>
              <w:t>Title Insurance:</w:t>
            </w:r>
          </w:p>
        </w:tc>
        <w:tc>
          <w:tcPr>
            <w:tcW w:w="3957" w:type="dxa"/>
            <w:shd w:val="clear" w:color="auto" w:fill="ECEAEA"/>
          </w:tcPr>
          <w:p w14:paraId="72916D80" w14:textId="067F3845" w:rsidR="00DA3D8F" w:rsidRPr="00973FF7" w:rsidRDefault="00DA3D8F" w:rsidP="00C560A7">
            <w:pPr>
              <w:pStyle w:val="TableParagraph"/>
              <w:spacing w:before="100" w:after="12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>Approx. $145 Loans to $600k; $260 if &gt;$600k</w:t>
            </w:r>
          </w:p>
        </w:tc>
      </w:tr>
      <w:tr w:rsidR="00DA3D8F" w14:paraId="54AD6A4E" w14:textId="77777777" w:rsidTr="00DC4815">
        <w:trPr>
          <w:trHeight w:val="457"/>
        </w:trPr>
        <w:tc>
          <w:tcPr>
            <w:tcW w:w="1550" w:type="dxa"/>
            <w:vMerge/>
            <w:shd w:val="clear" w:color="auto" w:fill="7030A0"/>
          </w:tcPr>
          <w:p w14:paraId="3F9AD530" w14:textId="77777777" w:rsidR="00DA3D8F" w:rsidRDefault="00DA3D8F" w:rsidP="00C560A7">
            <w:pPr>
              <w:spacing w:before="100" w:after="120"/>
              <w:ind w:left="113"/>
              <w:rPr>
                <w:sz w:val="2"/>
                <w:szCs w:val="2"/>
              </w:rPr>
            </w:pPr>
          </w:p>
        </w:tc>
        <w:tc>
          <w:tcPr>
            <w:tcW w:w="4137" w:type="dxa"/>
            <w:vMerge/>
            <w:shd w:val="clear" w:color="auto" w:fill="ECEAEA"/>
          </w:tcPr>
          <w:p w14:paraId="31F16DA0" w14:textId="77777777" w:rsidR="00DA3D8F" w:rsidRPr="00973FF7" w:rsidRDefault="00DA3D8F" w:rsidP="00C560A7">
            <w:pPr>
              <w:spacing w:before="100" w:after="120"/>
              <w:ind w:left="113"/>
              <w:rPr>
                <w:color w:val="404040" w:themeColor="text1" w:themeTint="BF"/>
                <w:sz w:val="2"/>
                <w:szCs w:val="2"/>
              </w:rPr>
            </w:pPr>
          </w:p>
        </w:tc>
        <w:tc>
          <w:tcPr>
            <w:tcW w:w="142" w:type="dxa"/>
            <w:vMerge/>
          </w:tcPr>
          <w:p w14:paraId="16076F24" w14:textId="77777777" w:rsidR="00DA3D8F" w:rsidRDefault="00DA3D8F" w:rsidP="00C560A7">
            <w:pPr>
              <w:spacing w:before="100" w:after="12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363F6DA7" w14:textId="5DA1A243" w:rsidR="00DA3D8F" w:rsidRDefault="00D453C7" w:rsidP="00C560A7">
            <w:pPr>
              <w:pStyle w:val="TableParagraph"/>
              <w:spacing w:before="100" w:after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 xml:space="preserve">Processing </w:t>
            </w:r>
            <w:r w:rsidR="00DA3D8F">
              <w:rPr>
                <w:color w:val="FFFFFF"/>
                <w:sz w:val="16"/>
              </w:rPr>
              <w:t>Fee:</w:t>
            </w:r>
          </w:p>
        </w:tc>
        <w:tc>
          <w:tcPr>
            <w:tcW w:w="3957" w:type="dxa"/>
            <w:shd w:val="clear" w:color="auto" w:fill="ECEAEA"/>
          </w:tcPr>
          <w:p w14:paraId="3A5E74A3" w14:textId="5E3B9363" w:rsidR="00DA3D8F" w:rsidRPr="00973FF7" w:rsidRDefault="009966B8" w:rsidP="00C560A7">
            <w:pPr>
              <w:pStyle w:val="TableParagraph"/>
              <w:spacing w:before="100" w:after="120"/>
              <w:rPr>
                <w:color w:val="404040" w:themeColor="text1" w:themeTint="BF"/>
                <w:sz w:val="16"/>
              </w:rPr>
            </w:pPr>
            <w:r w:rsidRPr="009966B8">
              <w:rPr>
                <w:color w:val="404040" w:themeColor="text1" w:themeTint="BF"/>
                <w:sz w:val="16"/>
              </w:rPr>
              <w:t>$499 (payable at settlement).</w:t>
            </w:r>
          </w:p>
        </w:tc>
      </w:tr>
      <w:tr w:rsidR="00DA3D8F" w14:paraId="21975C54" w14:textId="77777777" w:rsidTr="00821181">
        <w:trPr>
          <w:trHeight w:val="420"/>
        </w:trPr>
        <w:tc>
          <w:tcPr>
            <w:tcW w:w="1550" w:type="dxa"/>
            <w:shd w:val="clear" w:color="auto" w:fill="7030A0"/>
          </w:tcPr>
          <w:p w14:paraId="61B461D7" w14:textId="77777777" w:rsidR="00DA3D8F" w:rsidRDefault="00DA3D8F" w:rsidP="00ED0005">
            <w:pPr>
              <w:pStyle w:val="TableParagraph"/>
              <w:spacing w:before="100" w:after="100"/>
              <w:rPr>
                <w:sz w:val="16"/>
              </w:rPr>
            </w:pPr>
            <w:r>
              <w:rPr>
                <w:color w:val="FFFFFF"/>
                <w:sz w:val="16"/>
              </w:rPr>
              <w:t>Term:</w:t>
            </w:r>
          </w:p>
        </w:tc>
        <w:tc>
          <w:tcPr>
            <w:tcW w:w="4137" w:type="dxa"/>
            <w:shd w:val="clear" w:color="auto" w:fill="ECEAEA"/>
          </w:tcPr>
          <w:p w14:paraId="601A6858" w14:textId="73BC5574" w:rsidR="00DA3D8F" w:rsidRPr="00973FF7" w:rsidRDefault="00DA3D8F" w:rsidP="00ED0005">
            <w:pPr>
              <w:pStyle w:val="TableParagraph"/>
              <w:spacing w:before="100" w:after="10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>30 years Max.   Individuals, Companies, Family Trusts or Unit Trusts are acceptable. No annual reviews.</w:t>
            </w:r>
          </w:p>
        </w:tc>
        <w:tc>
          <w:tcPr>
            <w:tcW w:w="142" w:type="dxa"/>
            <w:vMerge/>
          </w:tcPr>
          <w:p w14:paraId="7021DFBE" w14:textId="77777777" w:rsidR="00DA3D8F" w:rsidRDefault="00DA3D8F" w:rsidP="00ED0005">
            <w:pPr>
              <w:spacing w:before="100" w:after="10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5E916BD1" w14:textId="7FE540C7" w:rsidR="00DA3D8F" w:rsidRPr="00307934" w:rsidRDefault="00DA3D8F" w:rsidP="00ED0005">
            <w:pPr>
              <w:pStyle w:val="TableParagraph"/>
              <w:spacing w:before="100" w:after="100"/>
              <w:rPr>
                <w:i/>
                <w:iCs/>
                <w:sz w:val="16"/>
              </w:rPr>
            </w:pPr>
            <w:r>
              <w:rPr>
                <w:color w:val="FFFFFF"/>
                <w:sz w:val="16"/>
              </w:rPr>
              <w:t>Settlement Fee:</w:t>
            </w:r>
          </w:p>
        </w:tc>
        <w:tc>
          <w:tcPr>
            <w:tcW w:w="3957" w:type="dxa"/>
            <w:shd w:val="clear" w:color="auto" w:fill="ECEAEA"/>
          </w:tcPr>
          <w:p w14:paraId="79CF525B" w14:textId="3DC77960" w:rsidR="00DA3D8F" w:rsidRPr="00973FF7" w:rsidRDefault="00DA3D8F" w:rsidP="00ED0005">
            <w:pPr>
              <w:pStyle w:val="TableParagraph"/>
              <w:spacing w:before="100" w:after="10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 xml:space="preserve">From $300 Settlement Fee plus disbursements.                                           </w:t>
            </w:r>
          </w:p>
        </w:tc>
      </w:tr>
      <w:tr w:rsidR="00DA3D8F" w14:paraId="269D7D49" w14:textId="77777777" w:rsidTr="002868A6">
        <w:trPr>
          <w:trHeight w:val="420"/>
        </w:trPr>
        <w:tc>
          <w:tcPr>
            <w:tcW w:w="1550" w:type="dxa"/>
            <w:shd w:val="clear" w:color="auto" w:fill="7030A0"/>
          </w:tcPr>
          <w:p w14:paraId="29626CF4" w14:textId="709F2E1B" w:rsidR="00DA3D8F" w:rsidRDefault="00DA3D8F" w:rsidP="00ED0005">
            <w:pPr>
              <w:pStyle w:val="TableParagraph"/>
              <w:spacing w:before="100" w:after="10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Interest Rate Type:</w:t>
            </w:r>
          </w:p>
        </w:tc>
        <w:tc>
          <w:tcPr>
            <w:tcW w:w="4137" w:type="dxa"/>
            <w:shd w:val="clear" w:color="auto" w:fill="ECEAEA"/>
          </w:tcPr>
          <w:p w14:paraId="3FFAA787" w14:textId="7BEA8298" w:rsidR="00DA3D8F" w:rsidRPr="00973FF7" w:rsidRDefault="00DA3D8F" w:rsidP="00ED0005">
            <w:pPr>
              <w:pStyle w:val="TableParagraph"/>
              <w:spacing w:before="100" w:after="10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>Variable rates. Interest Only is available &amp; attracts a 0.40% Rate Loading.</w:t>
            </w:r>
          </w:p>
        </w:tc>
        <w:tc>
          <w:tcPr>
            <w:tcW w:w="142" w:type="dxa"/>
            <w:vMerge/>
          </w:tcPr>
          <w:p w14:paraId="0DF9CC8C" w14:textId="77777777" w:rsidR="00DA3D8F" w:rsidRDefault="00DA3D8F" w:rsidP="00ED0005">
            <w:pPr>
              <w:spacing w:before="100" w:after="10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4328DCEB" w14:textId="01E6FC69" w:rsidR="00DA3D8F" w:rsidRDefault="00DA3D8F" w:rsidP="00ED0005">
            <w:pPr>
              <w:pStyle w:val="TableParagraph"/>
              <w:spacing w:before="100" w:after="10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Annual Fee:</w:t>
            </w:r>
          </w:p>
        </w:tc>
        <w:tc>
          <w:tcPr>
            <w:tcW w:w="3957" w:type="dxa"/>
            <w:shd w:val="clear" w:color="auto" w:fill="ECEAEA"/>
          </w:tcPr>
          <w:p w14:paraId="11AFF6D8" w14:textId="77A5F8BE" w:rsidR="00DA3D8F" w:rsidRPr="00973FF7" w:rsidRDefault="00DA3D8F" w:rsidP="00ED0005">
            <w:pPr>
              <w:pStyle w:val="TableParagraph"/>
              <w:spacing w:before="100" w:after="10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>Not Applicable.</w:t>
            </w:r>
          </w:p>
        </w:tc>
      </w:tr>
      <w:tr w:rsidR="00DA3D8F" w14:paraId="0820FA47" w14:textId="77777777" w:rsidTr="006E0ABD">
        <w:trPr>
          <w:trHeight w:val="420"/>
        </w:trPr>
        <w:tc>
          <w:tcPr>
            <w:tcW w:w="1550" w:type="dxa"/>
            <w:shd w:val="clear" w:color="auto" w:fill="7030A0"/>
          </w:tcPr>
          <w:p w14:paraId="3F1D2CD0" w14:textId="08BAEF15" w:rsidR="00DA3D8F" w:rsidRDefault="00DA3D8F" w:rsidP="00ED0005">
            <w:pPr>
              <w:pStyle w:val="TableParagraph"/>
              <w:spacing w:before="100" w:after="10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Repayments:</w:t>
            </w:r>
          </w:p>
        </w:tc>
        <w:tc>
          <w:tcPr>
            <w:tcW w:w="4137" w:type="dxa"/>
            <w:shd w:val="clear" w:color="auto" w:fill="ECEAEA"/>
          </w:tcPr>
          <w:p w14:paraId="5D4D0944" w14:textId="52876C2C" w:rsidR="00DA3D8F" w:rsidRPr="00973FF7" w:rsidRDefault="00DA3D8F" w:rsidP="00ED0005">
            <w:pPr>
              <w:pStyle w:val="TableParagraph"/>
              <w:spacing w:before="100" w:after="10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 xml:space="preserve">Principal &amp; Interest Only. (Interest Only for maximum 5 years).   </w:t>
            </w:r>
          </w:p>
        </w:tc>
        <w:tc>
          <w:tcPr>
            <w:tcW w:w="142" w:type="dxa"/>
            <w:vMerge/>
          </w:tcPr>
          <w:p w14:paraId="6F697082" w14:textId="77777777" w:rsidR="00DA3D8F" w:rsidRDefault="00DA3D8F" w:rsidP="00ED0005">
            <w:pPr>
              <w:spacing w:before="100" w:after="10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3B0E2044" w14:textId="0259365B" w:rsidR="00DA3D8F" w:rsidRDefault="00DA3D8F" w:rsidP="00ED0005">
            <w:pPr>
              <w:pStyle w:val="TableParagraph"/>
              <w:spacing w:before="100" w:after="10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Monthly Fee:</w:t>
            </w:r>
          </w:p>
        </w:tc>
        <w:tc>
          <w:tcPr>
            <w:tcW w:w="3957" w:type="dxa"/>
            <w:shd w:val="clear" w:color="auto" w:fill="ECEAEA"/>
          </w:tcPr>
          <w:p w14:paraId="27F8A00E" w14:textId="0D2F4858" w:rsidR="00DA3D8F" w:rsidRPr="00973FF7" w:rsidRDefault="00DA3D8F" w:rsidP="00ED0005">
            <w:pPr>
              <w:pStyle w:val="TableParagraph"/>
              <w:spacing w:before="100" w:after="10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>$15pm per split account.</w:t>
            </w:r>
          </w:p>
        </w:tc>
      </w:tr>
      <w:tr w:rsidR="00DA3D8F" w14:paraId="7090B0EF" w14:textId="77777777" w:rsidTr="005760D3">
        <w:trPr>
          <w:trHeight w:val="419"/>
        </w:trPr>
        <w:tc>
          <w:tcPr>
            <w:tcW w:w="1550" w:type="dxa"/>
            <w:shd w:val="clear" w:color="auto" w:fill="7030A0"/>
          </w:tcPr>
          <w:p w14:paraId="46BDD250" w14:textId="3599834B" w:rsidR="00DA3D8F" w:rsidRDefault="00DA3D8F" w:rsidP="00ED0005">
            <w:pPr>
              <w:pStyle w:val="TableParagraph"/>
              <w:spacing w:before="100" w:after="100"/>
              <w:rPr>
                <w:sz w:val="16"/>
              </w:rPr>
            </w:pPr>
            <w:r>
              <w:rPr>
                <w:color w:val="FFFFFF"/>
                <w:sz w:val="16"/>
              </w:rPr>
              <w:t>Extra Repayments:</w:t>
            </w:r>
          </w:p>
        </w:tc>
        <w:tc>
          <w:tcPr>
            <w:tcW w:w="4137" w:type="dxa"/>
            <w:shd w:val="clear" w:color="auto" w:fill="ECEAEA"/>
          </w:tcPr>
          <w:p w14:paraId="029F51FA" w14:textId="12AD2058" w:rsidR="00DA3D8F" w:rsidRPr="00973FF7" w:rsidRDefault="00DA3D8F" w:rsidP="00ED0005">
            <w:pPr>
              <w:pStyle w:val="TableParagraph"/>
              <w:spacing w:before="100" w:after="10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 xml:space="preserve">Variable: Extra repayments allowed without any penalty to maximum $10,000 per month. </w:t>
            </w:r>
          </w:p>
        </w:tc>
        <w:tc>
          <w:tcPr>
            <w:tcW w:w="142" w:type="dxa"/>
            <w:vMerge/>
          </w:tcPr>
          <w:p w14:paraId="3518A648" w14:textId="77777777" w:rsidR="00DA3D8F" w:rsidRDefault="00DA3D8F" w:rsidP="00ED0005">
            <w:pPr>
              <w:spacing w:before="100" w:after="10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0DAFF66C" w14:textId="033A7EAD" w:rsidR="00DA3D8F" w:rsidRDefault="00DA3D8F" w:rsidP="00ED0005">
            <w:pPr>
              <w:pStyle w:val="TableParagraph"/>
              <w:spacing w:before="100" w:after="100"/>
              <w:rPr>
                <w:sz w:val="16"/>
              </w:rPr>
            </w:pPr>
            <w:r>
              <w:rPr>
                <w:color w:val="FFFFFF"/>
                <w:sz w:val="16"/>
              </w:rPr>
              <w:t>Loan Splits:</w:t>
            </w:r>
          </w:p>
        </w:tc>
        <w:tc>
          <w:tcPr>
            <w:tcW w:w="3957" w:type="dxa"/>
            <w:shd w:val="clear" w:color="auto" w:fill="ECEAEA"/>
          </w:tcPr>
          <w:p w14:paraId="328D44AF" w14:textId="3ECE34B3" w:rsidR="00DA3D8F" w:rsidRPr="00973FF7" w:rsidRDefault="00DA3D8F" w:rsidP="00ED0005">
            <w:pPr>
              <w:pStyle w:val="TableParagraph"/>
              <w:spacing w:before="100" w:after="100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>Unlimited splits allowed.</w:t>
            </w:r>
          </w:p>
        </w:tc>
      </w:tr>
      <w:tr w:rsidR="00DA3D8F" w14:paraId="0DF431E8" w14:textId="77777777" w:rsidTr="00507F28">
        <w:trPr>
          <w:trHeight w:val="630"/>
        </w:trPr>
        <w:tc>
          <w:tcPr>
            <w:tcW w:w="1550" w:type="dxa"/>
            <w:shd w:val="clear" w:color="auto" w:fill="7030A0"/>
          </w:tcPr>
          <w:p w14:paraId="525BF44C" w14:textId="1CF5E34A" w:rsidR="00DA3D8F" w:rsidRDefault="00DA3D8F" w:rsidP="00E12D75">
            <w:pPr>
              <w:pStyle w:val="TableParagraph"/>
              <w:spacing w:before="100" w:after="10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Repayment Method &amp; Frequency:</w:t>
            </w:r>
          </w:p>
        </w:tc>
        <w:tc>
          <w:tcPr>
            <w:tcW w:w="4137" w:type="dxa"/>
            <w:shd w:val="clear" w:color="auto" w:fill="ECEAEA"/>
          </w:tcPr>
          <w:p w14:paraId="2CB7F66E" w14:textId="1BC20506" w:rsidR="00DA3D8F" w:rsidRPr="00973FF7" w:rsidRDefault="00DA3D8F" w:rsidP="00E12D75">
            <w:pPr>
              <w:pStyle w:val="Pa2"/>
              <w:spacing w:before="100" w:after="100"/>
              <w:ind w:left="113"/>
              <w:rPr>
                <w:rFonts w:ascii="Arial" w:hAnsi="Arial" w:cs="Arial"/>
                <w:color w:val="404040" w:themeColor="text1" w:themeTint="BF"/>
                <w:sz w:val="16"/>
              </w:rPr>
            </w:pPr>
            <w:r w:rsidRPr="00973FF7">
              <w:rPr>
                <w:rStyle w:val="A2"/>
                <w:rFonts w:ascii="Arial" w:hAnsi="Arial" w:cs="Arial"/>
                <w:color w:val="404040" w:themeColor="text1" w:themeTint="BF"/>
                <w:sz w:val="16"/>
                <w:szCs w:val="16"/>
              </w:rPr>
              <w:t>Weekly, Fortnightly or Monthly.</w:t>
            </w:r>
          </w:p>
        </w:tc>
        <w:tc>
          <w:tcPr>
            <w:tcW w:w="142" w:type="dxa"/>
            <w:vMerge/>
          </w:tcPr>
          <w:p w14:paraId="2875A63D" w14:textId="77777777" w:rsidR="00DA3D8F" w:rsidRDefault="00DA3D8F" w:rsidP="00E12D75">
            <w:pPr>
              <w:spacing w:before="100" w:after="10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vMerge w:val="restart"/>
            <w:shd w:val="clear" w:color="auto" w:fill="7030A0"/>
          </w:tcPr>
          <w:p w14:paraId="4477488D" w14:textId="2781CD03" w:rsidR="00DA3D8F" w:rsidRDefault="00DA3D8F" w:rsidP="00E12D75">
            <w:pPr>
              <w:pStyle w:val="TableParagraph"/>
              <w:spacing w:before="100" w:after="100" w:line="249" w:lineRule="auto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Discharge Fee:</w:t>
            </w:r>
          </w:p>
        </w:tc>
        <w:tc>
          <w:tcPr>
            <w:tcW w:w="3957" w:type="dxa"/>
            <w:vMerge w:val="restart"/>
            <w:shd w:val="clear" w:color="auto" w:fill="ECEAEA"/>
          </w:tcPr>
          <w:p w14:paraId="2F27339F" w14:textId="0DBC8EE9" w:rsidR="00DA3D8F" w:rsidRPr="00973FF7" w:rsidRDefault="00DA3D8F" w:rsidP="00E12D75">
            <w:pPr>
              <w:pStyle w:val="TableParagraph"/>
              <w:spacing w:before="100" w:after="100" w:line="278" w:lineRule="auto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 xml:space="preserve">$  490   Code loan + funder’s legal costs.                  $1350   Non-Code + funder’s legal costs.                         $  299   Priority Discharge Fee (30 days or less)           $  300   Electronic File Fee                                              $  290   Title Release Fee            </w:t>
            </w:r>
          </w:p>
        </w:tc>
      </w:tr>
      <w:tr w:rsidR="00DA3D8F" w14:paraId="1151A794" w14:textId="77777777" w:rsidTr="00273812">
        <w:trPr>
          <w:trHeight w:val="630"/>
        </w:trPr>
        <w:tc>
          <w:tcPr>
            <w:tcW w:w="1550" w:type="dxa"/>
            <w:shd w:val="clear" w:color="auto" w:fill="7030A0"/>
          </w:tcPr>
          <w:p w14:paraId="49923A2D" w14:textId="5BBA9F8A" w:rsidR="00DA3D8F" w:rsidRDefault="00DA3D8F" w:rsidP="00E12D75">
            <w:pPr>
              <w:pStyle w:val="TableParagraph"/>
              <w:spacing w:before="100" w:after="10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Cash Out:</w:t>
            </w:r>
          </w:p>
        </w:tc>
        <w:tc>
          <w:tcPr>
            <w:tcW w:w="4137" w:type="dxa"/>
            <w:shd w:val="clear" w:color="auto" w:fill="ECEAEA"/>
          </w:tcPr>
          <w:p w14:paraId="09CE9CEE" w14:textId="0CFFEA82" w:rsidR="00DA3D8F" w:rsidRPr="00973FF7" w:rsidRDefault="00DA3D8F" w:rsidP="00E12D75">
            <w:pPr>
              <w:pStyle w:val="Pa2"/>
              <w:spacing w:before="100" w:after="100"/>
              <w:ind w:left="113"/>
              <w:rPr>
                <w:rStyle w:val="A2"/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973FF7">
              <w:rPr>
                <w:rFonts w:ascii="Arial" w:hAnsi="Arial" w:cs="Arial"/>
                <w:color w:val="404040" w:themeColor="text1" w:themeTint="BF"/>
                <w:sz w:val="16"/>
              </w:rPr>
              <w:t>Max 75% LVR of alternate use.</w:t>
            </w:r>
          </w:p>
        </w:tc>
        <w:tc>
          <w:tcPr>
            <w:tcW w:w="142" w:type="dxa"/>
            <w:vMerge/>
          </w:tcPr>
          <w:p w14:paraId="5666FC00" w14:textId="77777777" w:rsidR="00DA3D8F" w:rsidRDefault="00DA3D8F" w:rsidP="00E12D75">
            <w:pPr>
              <w:spacing w:before="100" w:after="10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shd w:val="clear" w:color="auto" w:fill="7030A0"/>
          </w:tcPr>
          <w:p w14:paraId="47DE65EA" w14:textId="77777777" w:rsidR="00DA3D8F" w:rsidRDefault="00DA3D8F" w:rsidP="00E12D75">
            <w:pPr>
              <w:pStyle w:val="TableParagraph"/>
              <w:spacing w:before="100" w:after="100" w:line="249" w:lineRule="auto"/>
              <w:rPr>
                <w:color w:val="FFFFFF"/>
                <w:sz w:val="16"/>
              </w:rPr>
            </w:pPr>
          </w:p>
        </w:tc>
        <w:tc>
          <w:tcPr>
            <w:tcW w:w="3957" w:type="dxa"/>
            <w:vMerge/>
            <w:shd w:val="clear" w:color="auto" w:fill="ECEAEA"/>
          </w:tcPr>
          <w:p w14:paraId="39F89AA6" w14:textId="77777777" w:rsidR="00DA3D8F" w:rsidRPr="00973FF7" w:rsidRDefault="00DA3D8F" w:rsidP="00E12D75">
            <w:pPr>
              <w:pStyle w:val="TableParagraph"/>
              <w:spacing w:before="100" w:after="100" w:line="278" w:lineRule="auto"/>
              <w:rPr>
                <w:color w:val="404040" w:themeColor="text1" w:themeTint="BF"/>
                <w:sz w:val="16"/>
              </w:rPr>
            </w:pPr>
          </w:p>
        </w:tc>
      </w:tr>
      <w:tr w:rsidR="00DA3D8F" w14:paraId="0D9B3351" w14:textId="77777777" w:rsidTr="00273812">
        <w:trPr>
          <w:trHeight w:val="390"/>
        </w:trPr>
        <w:tc>
          <w:tcPr>
            <w:tcW w:w="1550" w:type="dxa"/>
            <w:shd w:val="clear" w:color="auto" w:fill="7030A0"/>
          </w:tcPr>
          <w:p w14:paraId="272E51F2" w14:textId="01841B53" w:rsidR="00DA3D8F" w:rsidRDefault="00DA3D8F" w:rsidP="00E12D75">
            <w:pPr>
              <w:pStyle w:val="TableParagraph"/>
              <w:spacing w:before="100" w:after="10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Redraw:</w:t>
            </w:r>
          </w:p>
        </w:tc>
        <w:tc>
          <w:tcPr>
            <w:tcW w:w="4137" w:type="dxa"/>
            <w:shd w:val="clear" w:color="auto" w:fill="ECEAEA"/>
          </w:tcPr>
          <w:p w14:paraId="370A67D6" w14:textId="70B82949" w:rsidR="00DA3D8F" w:rsidRPr="00973FF7" w:rsidRDefault="00DA3D8F" w:rsidP="00E12D75">
            <w:pPr>
              <w:pStyle w:val="Pa2"/>
              <w:spacing w:before="100" w:after="100"/>
              <w:ind w:left="113"/>
              <w:rPr>
                <w:rStyle w:val="A2"/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973FF7">
              <w:rPr>
                <w:rFonts w:ascii="Arial" w:hAnsi="Arial" w:cs="Arial"/>
                <w:color w:val="404040" w:themeColor="text1" w:themeTint="BF"/>
                <w:sz w:val="16"/>
              </w:rPr>
              <w:t>Available on Variable rates only.</w:t>
            </w:r>
          </w:p>
        </w:tc>
        <w:tc>
          <w:tcPr>
            <w:tcW w:w="142" w:type="dxa"/>
            <w:vMerge/>
          </w:tcPr>
          <w:p w14:paraId="253E5C0E" w14:textId="77777777" w:rsidR="00DA3D8F" w:rsidRDefault="00DA3D8F" w:rsidP="00E12D75">
            <w:pPr>
              <w:spacing w:before="100" w:after="10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645E3A5C" w14:textId="51C5291D" w:rsidR="00DA3D8F" w:rsidRDefault="00DA3D8F" w:rsidP="00E12D75">
            <w:pPr>
              <w:pStyle w:val="TableParagraph"/>
              <w:spacing w:before="100" w:after="100" w:line="249" w:lineRule="auto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ERF Waiver Fee:</w:t>
            </w:r>
          </w:p>
        </w:tc>
        <w:tc>
          <w:tcPr>
            <w:tcW w:w="3957" w:type="dxa"/>
            <w:shd w:val="clear" w:color="auto" w:fill="ECEAEA"/>
          </w:tcPr>
          <w:p w14:paraId="0DF1BAE2" w14:textId="540A8436" w:rsidR="00DA3D8F" w:rsidRPr="00973FF7" w:rsidRDefault="00DA3D8F" w:rsidP="00E12D75">
            <w:pPr>
              <w:pStyle w:val="TableParagraph"/>
              <w:spacing w:before="100" w:after="100" w:line="278" w:lineRule="auto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>ERF can be avoided with a rate loading of 0.25%  paid at settlement.</w:t>
            </w:r>
          </w:p>
        </w:tc>
      </w:tr>
      <w:tr w:rsidR="00DA3D8F" w14:paraId="42B33145" w14:textId="77777777" w:rsidTr="00DA3D8F">
        <w:trPr>
          <w:trHeight w:val="360"/>
        </w:trPr>
        <w:tc>
          <w:tcPr>
            <w:tcW w:w="1550" w:type="dxa"/>
            <w:shd w:val="clear" w:color="auto" w:fill="7030A0"/>
          </w:tcPr>
          <w:p w14:paraId="1223A589" w14:textId="1FB84BF3" w:rsidR="00DA3D8F" w:rsidRDefault="00DA3D8F" w:rsidP="00E12D75">
            <w:pPr>
              <w:pStyle w:val="TableParagraph"/>
              <w:spacing w:before="100" w:after="10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100% Offset:</w:t>
            </w:r>
          </w:p>
        </w:tc>
        <w:tc>
          <w:tcPr>
            <w:tcW w:w="4137" w:type="dxa"/>
            <w:shd w:val="clear" w:color="auto" w:fill="ECEAEA"/>
          </w:tcPr>
          <w:p w14:paraId="7C9230F6" w14:textId="293079C0" w:rsidR="00DA3D8F" w:rsidRPr="00973FF7" w:rsidRDefault="00DA3D8F" w:rsidP="00E12D75">
            <w:pPr>
              <w:pStyle w:val="Pa2"/>
              <w:spacing w:before="100" w:after="100"/>
              <w:ind w:left="113"/>
              <w:rPr>
                <w:rStyle w:val="A2"/>
                <w:rFonts w:ascii="Arial" w:hAnsi="Arial" w:cs="Arial"/>
                <w:color w:val="404040" w:themeColor="text1" w:themeTint="BF"/>
                <w:sz w:val="16"/>
                <w:szCs w:val="16"/>
              </w:rPr>
            </w:pPr>
            <w:r w:rsidRPr="00973FF7">
              <w:rPr>
                <w:rFonts w:ascii="Arial" w:hAnsi="Arial" w:cs="Arial"/>
                <w:color w:val="404040" w:themeColor="text1" w:themeTint="BF"/>
                <w:sz w:val="16"/>
              </w:rPr>
              <w:t>Not available.</w:t>
            </w:r>
          </w:p>
        </w:tc>
        <w:tc>
          <w:tcPr>
            <w:tcW w:w="142" w:type="dxa"/>
            <w:vMerge/>
          </w:tcPr>
          <w:p w14:paraId="0F6D566A" w14:textId="77777777" w:rsidR="00DA3D8F" w:rsidRDefault="00DA3D8F" w:rsidP="00E12D75">
            <w:pPr>
              <w:spacing w:before="100" w:after="100"/>
              <w:ind w:left="113"/>
              <w:rPr>
                <w:sz w:val="2"/>
                <w:szCs w:val="2"/>
              </w:rPr>
            </w:pPr>
          </w:p>
        </w:tc>
        <w:tc>
          <w:tcPr>
            <w:tcW w:w="1571" w:type="dxa"/>
            <w:shd w:val="clear" w:color="auto" w:fill="7030A0"/>
          </w:tcPr>
          <w:p w14:paraId="7098DC86" w14:textId="2DCC9383" w:rsidR="00DA3D8F" w:rsidRDefault="00DA3D8F" w:rsidP="00DA3D8F">
            <w:pPr>
              <w:pStyle w:val="TableParagraph"/>
              <w:spacing w:before="120" w:after="120" w:line="249" w:lineRule="auto"/>
              <w:ind w:left="115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 xml:space="preserve">ERF:  </w:t>
            </w:r>
          </w:p>
        </w:tc>
        <w:tc>
          <w:tcPr>
            <w:tcW w:w="3957" w:type="dxa"/>
            <w:shd w:val="clear" w:color="auto" w:fill="ECEAEA"/>
          </w:tcPr>
          <w:p w14:paraId="3350ED7A" w14:textId="147678A9" w:rsidR="00DA3D8F" w:rsidRPr="00226402" w:rsidRDefault="00DA3D8F" w:rsidP="00E12D75">
            <w:pPr>
              <w:pStyle w:val="TableParagraph"/>
              <w:spacing w:before="100" w:after="100" w:line="278" w:lineRule="auto"/>
              <w:rPr>
                <w:sz w:val="16"/>
              </w:rPr>
            </w:pPr>
            <w:r>
              <w:rPr>
                <w:sz w:val="16"/>
              </w:rPr>
              <w:t xml:space="preserve">Please refer to item below </w:t>
            </w:r>
            <w:r w:rsidR="00CF6E89">
              <w:rPr>
                <w:sz w:val="16"/>
              </w:rPr>
              <w:t>re Early Repayment Fees.</w:t>
            </w:r>
          </w:p>
        </w:tc>
      </w:tr>
      <w:tr w:rsidR="00E12D75" w14:paraId="5BE3DCCD" w14:textId="77777777" w:rsidTr="00FF6D78">
        <w:trPr>
          <w:trHeight w:val="323"/>
        </w:trPr>
        <w:tc>
          <w:tcPr>
            <w:tcW w:w="1550" w:type="dxa"/>
            <w:shd w:val="clear" w:color="auto" w:fill="7030A0"/>
          </w:tcPr>
          <w:p w14:paraId="6FDF8129" w14:textId="28AA6DA3" w:rsidR="00E12D75" w:rsidRDefault="00E12D75" w:rsidP="00E12D75">
            <w:pPr>
              <w:pStyle w:val="TableParagraph"/>
              <w:spacing w:before="100" w:after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Early Repayment Fee  (ERF):</w:t>
            </w:r>
          </w:p>
        </w:tc>
        <w:tc>
          <w:tcPr>
            <w:tcW w:w="9807" w:type="dxa"/>
            <w:gridSpan w:val="4"/>
            <w:shd w:val="clear" w:color="auto" w:fill="ECEAEA"/>
          </w:tcPr>
          <w:p w14:paraId="6C6AE519" w14:textId="683B5161" w:rsidR="00E12D75" w:rsidRDefault="00E12D75" w:rsidP="00E12D75">
            <w:pPr>
              <w:pStyle w:val="TableParagraph"/>
              <w:spacing w:before="100" w:after="120" w:line="278" w:lineRule="auto"/>
              <w:ind w:left="115"/>
              <w:rPr>
                <w:sz w:val="16"/>
                <w:szCs w:val="16"/>
              </w:rPr>
            </w:pPr>
            <w:r w:rsidRPr="00023DC9">
              <w:rPr>
                <w:b/>
                <w:bCs/>
                <w:sz w:val="16"/>
                <w:szCs w:val="16"/>
              </w:rPr>
              <w:t>Regulated Loan:</w:t>
            </w:r>
            <w:r>
              <w:rPr>
                <w:sz w:val="16"/>
                <w:szCs w:val="16"/>
              </w:rPr>
              <w:t xml:space="preserve">              </w:t>
            </w:r>
            <w:r w:rsidRPr="00973FF7">
              <w:rPr>
                <w:color w:val="404040" w:themeColor="text1" w:themeTint="BF"/>
                <w:sz w:val="16"/>
              </w:rPr>
              <w:t xml:space="preserve">$765 if loan repaid in the first 5 years.                                                                                                                                </w:t>
            </w:r>
            <w:r w:rsidRPr="0027432F">
              <w:rPr>
                <w:b/>
                <w:bCs/>
                <w:sz w:val="16"/>
              </w:rPr>
              <w:t>Non-Regulated</w:t>
            </w:r>
            <w:r w:rsidRPr="0027432F">
              <w:rPr>
                <w:b/>
                <w:bCs/>
                <w:sz w:val="16"/>
                <w:szCs w:val="16"/>
              </w:rPr>
              <w:t xml:space="preserve"> Loan</w:t>
            </w:r>
            <w:r>
              <w:rPr>
                <w:sz w:val="16"/>
                <w:szCs w:val="16"/>
              </w:rPr>
              <w:t xml:space="preserve">:      </w:t>
            </w:r>
            <w:r w:rsidRPr="00973FF7">
              <w:rPr>
                <w:rFonts w:eastAsia="Times New Roman"/>
                <w:color w:val="404040" w:themeColor="text1" w:themeTint="BF"/>
                <w:sz w:val="16"/>
                <w:szCs w:val="16"/>
              </w:rPr>
              <w:t>3 months interest if loan repaid in first 5 years.</w:t>
            </w:r>
            <w:r w:rsidR="00973FF7" w:rsidRPr="00973FF7">
              <w:rPr>
                <w:rFonts w:eastAsia="Times New Roman"/>
                <w:color w:val="404040" w:themeColor="text1" w:themeTint="BF"/>
                <w:sz w:val="16"/>
                <w:szCs w:val="16"/>
              </w:rPr>
              <w:t xml:space="preserve">  </w:t>
            </w:r>
            <w:r w:rsidR="00973FF7" w:rsidRPr="00973FF7">
              <w:rPr>
                <w:color w:val="404040" w:themeColor="text1" w:themeTint="BF"/>
                <w:sz w:val="16"/>
              </w:rPr>
              <w:t xml:space="preserve">ERF applies to principal reductions &gt;$10,000 pm.                                    </w:t>
            </w:r>
          </w:p>
        </w:tc>
      </w:tr>
      <w:tr w:rsidR="00E12D75" w14:paraId="5F6370E0" w14:textId="77777777" w:rsidTr="00FF6D78">
        <w:trPr>
          <w:trHeight w:val="323"/>
        </w:trPr>
        <w:tc>
          <w:tcPr>
            <w:tcW w:w="1550" w:type="dxa"/>
            <w:shd w:val="clear" w:color="auto" w:fill="7030A0"/>
          </w:tcPr>
          <w:p w14:paraId="527F5203" w14:textId="39E76011" w:rsidR="00E12D75" w:rsidRDefault="00E12D75" w:rsidP="00E12D75">
            <w:pPr>
              <w:pStyle w:val="TableParagraph"/>
              <w:spacing w:before="100" w:after="12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>Alternate Use:</w:t>
            </w:r>
          </w:p>
        </w:tc>
        <w:tc>
          <w:tcPr>
            <w:tcW w:w="9807" w:type="dxa"/>
            <w:gridSpan w:val="4"/>
            <w:shd w:val="clear" w:color="auto" w:fill="ECEAEA"/>
          </w:tcPr>
          <w:p w14:paraId="797A2ED4" w14:textId="5BA93D70" w:rsidR="00E12D75" w:rsidRPr="00973FF7" w:rsidRDefault="00E12D75" w:rsidP="00E12D75">
            <w:pPr>
              <w:pStyle w:val="TableParagraph"/>
              <w:spacing w:before="100" w:after="120" w:line="278" w:lineRule="auto"/>
              <w:ind w:left="115"/>
              <w:rPr>
                <w:color w:val="404040" w:themeColor="text1" w:themeTint="BF"/>
                <w:sz w:val="16"/>
                <w:szCs w:val="16"/>
              </w:rPr>
            </w:pPr>
            <w:r w:rsidRPr="00973FF7">
              <w:rPr>
                <w:color w:val="404040" w:themeColor="text1" w:themeTint="BF"/>
                <w:sz w:val="16"/>
                <w:szCs w:val="16"/>
              </w:rPr>
              <w:t>Alternate Use figure is required for every valuation which may be 25%-35% lower than the NDIS Uplift valuation.                                              Maximum of 75% of the Alternate Use figure will be used for residential securities</w:t>
            </w:r>
            <w:r w:rsidR="008547EE">
              <w:rPr>
                <w:color w:val="404040" w:themeColor="text1" w:themeTint="BF"/>
                <w:sz w:val="16"/>
                <w:szCs w:val="16"/>
              </w:rPr>
              <w:t xml:space="preserve"> using Market Rental (not ndis income).</w:t>
            </w:r>
            <w:r w:rsidRPr="00973FF7">
              <w:rPr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</w:tr>
      <w:tr w:rsidR="00E12D75" w14:paraId="7DF2338B" w14:textId="77777777" w:rsidTr="001E791D">
        <w:trPr>
          <w:trHeight w:val="323"/>
        </w:trPr>
        <w:tc>
          <w:tcPr>
            <w:tcW w:w="1550" w:type="dxa"/>
            <w:shd w:val="clear" w:color="auto" w:fill="7030A0"/>
          </w:tcPr>
          <w:p w14:paraId="323E0362" w14:textId="55DBFD73" w:rsidR="00E12D75" w:rsidRDefault="00E12D75" w:rsidP="00E12D75">
            <w:pPr>
              <w:pStyle w:val="TableParagraph"/>
              <w:spacing w:before="100" w:after="100"/>
              <w:rPr>
                <w:color w:val="FFFFFF"/>
                <w:sz w:val="16"/>
              </w:rPr>
            </w:pPr>
            <w:r>
              <w:rPr>
                <w:color w:val="FFFFFF"/>
                <w:sz w:val="16"/>
              </w:rPr>
              <w:t xml:space="preserve">Acceptable </w:t>
            </w:r>
            <w:r w:rsidRPr="004510D1">
              <w:rPr>
                <w:color w:val="FFFFFF"/>
                <w:sz w:val="16"/>
                <w:szCs w:val="16"/>
              </w:rPr>
              <w:t>Securities:</w:t>
            </w:r>
          </w:p>
        </w:tc>
        <w:tc>
          <w:tcPr>
            <w:tcW w:w="9807" w:type="dxa"/>
            <w:gridSpan w:val="4"/>
            <w:shd w:val="clear" w:color="auto" w:fill="ECEAEA"/>
          </w:tcPr>
          <w:p w14:paraId="101482FF" w14:textId="62BDAE2D" w:rsidR="00E12D75" w:rsidRPr="00973FF7" w:rsidRDefault="00E12D75" w:rsidP="00E12D75">
            <w:pPr>
              <w:pStyle w:val="TableParagraph"/>
              <w:spacing w:before="100" w:after="100" w:line="278" w:lineRule="auto"/>
              <w:ind w:left="115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  <w:szCs w:val="16"/>
              </w:rPr>
              <w:t>Established NDIS properties in Metro or Non-Metro locations (Cat 1 &amp; 2).  Vacant possession is allowed (ndis income not used).   House or units (units must have a bathroom with each bedroom) are valued as a standard home. Alternate Use may be reduced by the cost of the work to return the property to a standard home (assume $20k - $50k) before Max. LVR applied.</w:t>
            </w:r>
          </w:p>
        </w:tc>
      </w:tr>
      <w:tr w:rsidR="00E12D75" w14:paraId="740C8694" w14:textId="77777777" w:rsidTr="00AB3215">
        <w:trPr>
          <w:trHeight w:val="323"/>
        </w:trPr>
        <w:tc>
          <w:tcPr>
            <w:tcW w:w="1550" w:type="dxa"/>
            <w:shd w:val="clear" w:color="auto" w:fill="7030A0"/>
          </w:tcPr>
          <w:p w14:paraId="3F6E21F0" w14:textId="020F3D06" w:rsidR="00E12D75" w:rsidRDefault="00E12D75" w:rsidP="00E12D75">
            <w:pPr>
              <w:pStyle w:val="TableParagraph"/>
              <w:spacing w:before="100" w:after="100"/>
              <w:rPr>
                <w:color w:val="FFFFFF"/>
                <w:sz w:val="16"/>
              </w:rPr>
            </w:pPr>
            <w:r w:rsidRPr="004510D1">
              <w:rPr>
                <w:color w:val="FFFFFF"/>
                <w:sz w:val="16"/>
                <w:szCs w:val="16"/>
              </w:rPr>
              <w:t>Unacceptable</w:t>
            </w:r>
            <w:r>
              <w:rPr>
                <w:color w:val="FFFFFF"/>
                <w:sz w:val="16"/>
                <w:szCs w:val="16"/>
              </w:rPr>
              <w:t xml:space="preserve"> </w:t>
            </w:r>
            <w:r>
              <w:rPr>
                <w:color w:val="FFFFFF"/>
                <w:sz w:val="16"/>
              </w:rPr>
              <w:t>Securities:</w:t>
            </w:r>
          </w:p>
        </w:tc>
        <w:tc>
          <w:tcPr>
            <w:tcW w:w="9807" w:type="dxa"/>
            <w:gridSpan w:val="4"/>
            <w:shd w:val="clear" w:color="auto" w:fill="ECEAEA"/>
          </w:tcPr>
          <w:p w14:paraId="7F18C362" w14:textId="734883B4" w:rsidR="00E12D75" w:rsidRPr="00973FF7" w:rsidRDefault="00E12D75" w:rsidP="00E12D75">
            <w:pPr>
              <w:pStyle w:val="TableParagraph"/>
              <w:spacing w:before="100" w:after="100" w:line="278" w:lineRule="auto"/>
              <w:ind w:left="115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 xml:space="preserve">Vacant land, Non-Standard Security Properties. </w:t>
            </w:r>
          </w:p>
        </w:tc>
      </w:tr>
      <w:tr w:rsidR="00E12D75" w14:paraId="5F1BC8CA" w14:textId="77777777" w:rsidTr="00AB3215">
        <w:trPr>
          <w:trHeight w:val="903"/>
        </w:trPr>
        <w:tc>
          <w:tcPr>
            <w:tcW w:w="1550" w:type="dxa"/>
            <w:shd w:val="clear" w:color="auto" w:fill="7030A0"/>
          </w:tcPr>
          <w:p w14:paraId="79B1DF8C" w14:textId="621E2603" w:rsidR="00E12D75" w:rsidRDefault="00E12D75" w:rsidP="00E12D75">
            <w:pPr>
              <w:pStyle w:val="TableParagraph"/>
              <w:spacing w:before="100" w:after="100"/>
              <w:rPr>
                <w:rFonts w:ascii="Lucida Sans"/>
                <w:color w:val="FFFFFF"/>
                <w:sz w:val="15"/>
              </w:rPr>
            </w:pPr>
            <w:r>
              <w:rPr>
                <w:color w:val="FFFFFF"/>
                <w:sz w:val="16"/>
              </w:rPr>
              <w:t>Points of Difference:</w:t>
            </w:r>
          </w:p>
        </w:tc>
        <w:tc>
          <w:tcPr>
            <w:tcW w:w="9807" w:type="dxa"/>
            <w:gridSpan w:val="4"/>
            <w:shd w:val="clear" w:color="auto" w:fill="ECEAEA"/>
          </w:tcPr>
          <w:p w14:paraId="3423DE81" w14:textId="2AD40E2A" w:rsidR="00E12D75" w:rsidRPr="00973FF7" w:rsidRDefault="00E12D75" w:rsidP="00E12D75">
            <w:pPr>
              <w:pStyle w:val="TableParagraph"/>
              <w:spacing w:before="100" w:after="240" w:line="278" w:lineRule="auto"/>
              <w:ind w:left="115"/>
              <w:rPr>
                <w:color w:val="404040" w:themeColor="text1" w:themeTint="BF"/>
                <w:sz w:val="16"/>
              </w:rPr>
            </w:pPr>
            <w:r w:rsidRPr="00973FF7">
              <w:rPr>
                <w:color w:val="404040" w:themeColor="text1" w:themeTint="BF"/>
                <w:sz w:val="16"/>
              </w:rPr>
              <w:t xml:space="preserve">Rates and fees are subject to change without notice - refer to your State Manager for confirmation of current rates and fees.                 </w:t>
            </w:r>
            <w:r w:rsidRPr="00973FF7">
              <w:rPr>
                <w:rFonts w:eastAsiaTheme="minorHAnsi"/>
                <w:color w:val="404040" w:themeColor="text1" w:themeTint="BF"/>
                <w:sz w:val="16"/>
                <w:szCs w:val="16"/>
                <w:lang w:val="en-AU" w:bidi="ar-SA"/>
              </w:rPr>
              <w:t>SDA properties (Specialist Disability Accommodation) and SIL (Supported Independent Living) considered (SIL can be OO).</w:t>
            </w:r>
            <w:r w:rsidRPr="00973FF7">
              <w:rPr>
                <w:color w:val="404040" w:themeColor="text1" w:themeTint="BF"/>
                <w:sz w:val="16"/>
              </w:rPr>
              <w:t xml:space="preserve">          Construction is available (different product)</w:t>
            </w:r>
            <w:r w:rsidR="00C0590B">
              <w:rPr>
                <w:color w:val="404040" w:themeColor="text1" w:themeTint="BF"/>
                <w:sz w:val="16"/>
              </w:rPr>
              <w:t xml:space="preserve"> | No Risk Fees or Lender Protection Fees.</w:t>
            </w:r>
            <w:r w:rsidRPr="00973FF7">
              <w:rPr>
                <w:color w:val="404040" w:themeColor="text1" w:themeTint="BF"/>
                <w:sz w:val="16"/>
              </w:rPr>
              <w:t xml:space="preserve">                                                                                                                                                 </w:t>
            </w:r>
            <w:r w:rsidRPr="00973FF7">
              <w:rPr>
                <w:rFonts w:eastAsiaTheme="minorHAnsi"/>
                <w:color w:val="404040" w:themeColor="text1" w:themeTint="BF"/>
                <w:sz w:val="16"/>
                <w:szCs w:val="16"/>
                <w:lang w:val="en-AU" w:bidi="ar-SA"/>
              </w:rPr>
              <w:t>Vacant possession is rarely available for an NDIS security, as there can be time delays in getting tenants especially after a new property has just been completed</w:t>
            </w:r>
            <w:r w:rsidR="003620E7">
              <w:rPr>
                <w:rFonts w:eastAsiaTheme="minorHAnsi"/>
                <w:color w:val="404040" w:themeColor="text1" w:themeTint="BF"/>
                <w:sz w:val="16"/>
                <w:szCs w:val="16"/>
                <w:lang w:val="en-AU" w:bidi="ar-SA"/>
              </w:rPr>
              <w:t xml:space="preserve"> – vacant possession</w:t>
            </w:r>
            <w:r w:rsidR="00460F68">
              <w:rPr>
                <w:rFonts w:eastAsiaTheme="minorHAnsi"/>
                <w:color w:val="404040" w:themeColor="text1" w:themeTint="BF"/>
                <w:sz w:val="16"/>
                <w:szCs w:val="16"/>
                <w:lang w:val="en-AU" w:bidi="ar-SA"/>
              </w:rPr>
              <w:t xml:space="preserve"> is</w:t>
            </w:r>
            <w:r w:rsidR="003620E7">
              <w:rPr>
                <w:rFonts w:eastAsiaTheme="minorHAnsi"/>
                <w:color w:val="404040" w:themeColor="text1" w:themeTint="BF"/>
                <w:sz w:val="16"/>
                <w:szCs w:val="16"/>
                <w:lang w:val="en-AU" w:bidi="ar-SA"/>
              </w:rPr>
              <w:t xml:space="preserve"> allowed</w:t>
            </w:r>
            <w:r w:rsidRPr="00973FF7">
              <w:rPr>
                <w:rFonts w:eastAsiaTheme="minorHAnsi"/>
                <w:color w:val="404040" w:themeColor="text1" w:themeTint="BF"/>
                <w:sz w:val="16"/>
                <w:szCs w:val="16"/>
                <w:lang w:val="en-AU" w:bidi="ar-SA"/>
              </w:rPr>
              <w:t>.</w:t>
            </w:r>
            <w:r w:rsidRPr="00973FF7">
              <w:rPr>
                <w:color w:val="404040" w:themeColor="text1" w:themeTint="BF"/>
                <w:sz w:val="16"/>
              </w:rPr>
              <w:t xml:space="preserve"> | No postcode restrictions in Cat 1 &amp; 2 locations. </w:t>
            </w:r>
          </w:p>
        </w:tc>
      </w:tr>
    </w:tbl>
    <w:p w14:paraId="0FCD17F1" w14:textId="2FD60308" w:rsidR="0079454D" w:rsidRDefault="0079454D" w:rsidP="00912D24">
      <w:pPr>
        <w:pStyle w:val="BodyText"/>
        <w:spacing w:before="9"/>
        <w:rPr>
          <w:sz w:val="14"/>
        </w:rPr>
      </w:pPr>
    </w:p>
    <w:p w14:paraId="403F2864" w14:textId="752C37D9" w:rsidR="00D34666" w:rsidRDefault="00D34666" w:rsidP="00912D24">
      <w:pPr>
        <w:pStyle w:val="BodyText"/>
        <w:spacing w:before="9"/>
        <w:rPr>
          <w:sz w:val="14"/>
        </w:rPr>
      </w:pPr>
    </w:p>
    <w:p w14:paraId="3C6773F9" w14:textId="67D8DFE9" w:rsidR="00922EE6" w:rsidRDefault="00922EE6" w:rsidP="00912D24">
      <w:pPr>
        <w:pStyle w:val="BodyText"/>
        <w:spacing w:before="9"/>
        <w:rPr>
          <w:sz w:val="14"/>
        </w:rPr>
      </w:pPr>
    </w:p>
    <w:p w14:paraId="0612E04A" w14:textId="77777777" w:rsidR="00922EE6" w:rsidRDefault="00922EE6" w:rsidP="00912D24">
      <w:pPr>
        <w:pStyle w:val="BodyText"/>
        <w:spacing w:before="9"/>
        <w:rPr>
          <w:sz w:val="14"/>
        </w:rPr>
      </w:pPr>
    </w:p>
    <w:p w14:paraId="005A4610" w14:textId="223E92E7" w:rsidR="00D34666" w:rsidRDefault="00D34666" w:rsidP="00912D24">
      <w:pPr>
        <w:pStyle w:val="BodyText"/>
        <w:spacing w:before="9"/>
        <w:rPr>
          <w:sz w:val="14"/>
        </w:rPr>
      </w:pPr>
    </w:p>
    <w:p w14:paraId="4329FA44" w14:textId="77777777" w:rsidR="006754D1" w:rsidRDefault="006754D1" w:rsidP="00912D24">
      <w:pPr>
        <w:pStyle w:val="BodyText"/>
        <w:spacing w:before="9"/>
        <w:rPr>
          <w:sz w:val="14"/>
        </w:rPr>
      </w:pPr>
    </w:p>
    <w:p w14:paraId="1EF6617D" w14:textId="77777777" w:rsidR="006754D1" w:rsidRDefault="006754D1" w:rsidP="00912D24">
      <w:pPr>
        <w:pStyle w:val="BodyText"/>
        <w:spacing w:before="9"/>
        <w:rPr>
          <w:sz w:val="14"/>
        </w:rPr>
      </w:pPr>
    </w:p>
    <w:p w14:paraId="34BD8C79" w14:textId="77777777" w:rsidR="006754D1" w:rsidRDefault="006754D1" w:rsidP="00912D24">
      <w:pPr>
        <w:pStyle w:val="BodyText"/>
        <w:spacing w:before="9"/>
        <w:rPr>
          <w:sz w:val="14"/>
        </w:rPr>
      </w:pPr>
    </w:p>
    <w:p w14:paraId="6431F4E1" w14:textId="6B8C4A41" w:rsidR="00D34666" w:rsidRDefault="00D34666" w:rsidP="00912D24">
      <w:pPr>
        <w:pStyle w:val="BodyText"/>
        <w:spacing w:before="9"/>
        <w:rPr>
          <w:sz w:val="14"/>
        </w:rPr>
      </w:pPr>
    </w:p>
    <w:p w14:paraId="00061D54" w14:textId="77777777" w:rsidR="00D34666" w:rsidRDefault="00D34666" w:rsidP="00912D24">
      <w:pPr>
        <w:pStyle w:val="BodyText"/>
        <w:spacing w:before="9"/>
        <w:rPr>
          <w:sz w:val="14"/>
        </w:rPr>
      </w:pPr>
    </w:p>
    <w:sectPr w:rsidR="00D34666" w:rsidSect="00182507">
      <w:footerReference w:type="default" r:id="rId9"/>
      <w:type w:val="continuous"/>
      <w:pgSz w:w="11910" w:h="16840" w:code="9"/>
      <w:pgMar w:top="142" w:right="284" w:bottom="-57" w:left="11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2DC9A" w14:textId="77777777" w:rsidR="00502786" w:rsidRDefault="00502786" w:rsidP="00BC726C">
      <w:r>
        <w:separator/>
      </w:r>
    </w:p>
  </w:endnote>
  <w:endnote w:type="continuationSeparator" w:id="0">
    <w:p w14:paraId="0DEFA794" w14:textId="77777777" w:rsidR="00502786" w:rsidRDefault="00502786" w:rsidP="00BC7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9125" w14:textId="77777777" w:rsidR="00BC726C" w:rsidRPr="00F35EFC" w:rsidRDefault="00BC726C" w:rsidP="00BC726C">
    <w:pPr>
      <w:pStyle w:val="BodyText"/>
      <w:shd w:val="clear" w:color="auto" w:fill="002060"/>
      <w:ind w:left="170"/>
      <w:rPr>
        <w:color w:val="FFFFFF" w:themeColor="background1"/>
        <w:sz w:val="20"/>
      </w:rPr>
    </w:pPr>
  </w:p>
  <w:p w14:paraId="535D119B" w14:textId="77777777" w:rsidR="00BC726C" w:rsidRPr="00F35EFC" w:rsidRDefault="00BC726C" w:rsidP="00BC726C">
    <w:pPr>
      <w:pStyle w:val="BodyText"/>
      <w:shd w:val="clear" w:color="auto" w:fill="002060"/>
      <w:ind w:left="170"/>
      <w:rPr>
        <w:color w:val="FFFFFF" w:themeColor="background1"/>
        <w:sz w:val="20"/>
        <w:szCs w:val="20"/>
      </w:rPr>
    </w:pPr>
    <w:r>
      <w:rPr>
        <w:b/>
        <w:color w:val="FFFF00"/>
        <w:sz w:val="20"/>
        <w:szCs w:val="20"/>
      </w:rPr>
      <w:t xml:space="preserve">        </w:t>
    </w:r>
    <w:r w:rsidRPr="005F1415">
      <w:rPr>
        <w:bCs/>
        <w:color w:val="FFFFFF" w:themeColor="background1"/>
        <w:sz w:val="24"/>
        <w:szCs w:val="24"/>
      </w:rPr>
      <w:t xml:space="preserve">Allstate Home Loans Pty Ltd                                         </w:t>
    </w:r>
    <w:r w:rsidRPr="005F1415">
      <w:rPr>
        <w:bCs/>
        <w:color w:val="FFFFFF" w:themeColor="background1"/>
        <w:sz w:val="20"/>
        <w:szCs w:val="20"/>
      </w:rPr>
      <w:t xml:space="preserve">                                </w:t>
    </w:r>
    <w:r>
      <w:rPr>
        <w:bCs/>
        <w:color w:val="FFFFFF" w:themeColor="background1"/>
        <w:sz w:val="20"/>
        <w:szCs w:val="20"/>
      </w:rPr>
      <w:t xml:space="preserve">        </w:t>
    </w:r>
    <w:r w:rsidRPr="005F1415">
      <w:rPr>
        <w:bCs/>
        <w:color w:val="FFFFFF" w:themeColor="background1"/>
        <w:sz w:val="20"/>
        <w:szCs w:val="20"/>
      </w:rPr>
      <w:t xml:space="preserve">  </w:t>
    </w:r>
    <w:r w:rsidRPr="00F35EFC">
      <w:rPr>
        <w:color w:val="FFFFFF" w:themeColor="background1"/>
        <w:sz w:val="20"/>
        <w:szCs w:val="20"/>
      </w:rPr>
      <w:t xml:space="preserve">Phone </w:t>
    </w:r>
    <w:r w:rsidRPr="005F1415">
      <w:rPr>
        <w:color w:val="FFFFFF" w:themeColor="background1"/>
        <w:sz w:val="24"/>
        <w:szCs w:val="24"/>
      </w:rPr>
      <w:t>1800 101 368</w:t>
    </w:r>
  </w:p>
  <w:p w14:paraId="2BA55664" w14:textId="7E856C3D" w:rsidR="00BC726C" w:rsidRPr="00F35EFC" w:rsidRDefault="00BC726C" w:rsidP="00BC726C">
    <w:pPr>
      <w:pStyle w:val="BodyText"/>
      <w:shd w:val="clear" w:color="auto" w:fill="002060"/>
      <w:ind w:left="170"/>
      <w:rPr>
        <w:color w:val="FFFFFF" w:themeColor="background1"/>
        <w:sz w:val="20"/>
        <w:szCs w:val="20"/>
      </w:rPr>
    </w:pPr>
    <w:r>
      <w:rPr>
        <w:color w:val="FFFFFF" w:themeColor="background1"/>
        <w:sz w:val="20"/>
        <w:szCs w:val="20"/>
      </w:rPr>
      <w:t xml:space="preserve">        </w:t>
    </w:r>
    <w:r w:rsidRPr="00F35EFC">
      <w:rPr>
        <w:color w:val="FFFFFF" w:themeColor="background1"/>
        <w:sz w:val="20"/>
        <w:szCs w:val="20"/>
      </w:rPr>
      <w:t xml:space="preserve">Email:   </w:t>
    </w:r>
    <w:r>
      <w:rPr>
        <w:color w:val="FFFFFF" w:themeColor="background1"/>
        <w:sz w:val="20"/>
        <w:szCs w:val="20"/>
      </w:rPr>
      <w:t>hell</w:t>
    </w:r>
    <w:r w:rsidRPr="00F35EFC">
      <w:rPr>
        <w:color w:val="FFFFFF" w:themeColor="background1"/>
        <w:sz w:val="20"/>
        <w:szCs w:val="20"/>
      </w:rPr>
      <w:t>o@allstateloans.</w:t>
    </w:r>
    <w:r w:rsidR="00BB16EF">
      <w:rPr>
        <w:color w:val="FFFFFF" w:themeColor="background1"/>
        <w:sz w:val="20"/>
        <w:szCs w:val="20"/>
      </w:rPr>
      <w:t>com.</w:t>
    </w:r>
    <w:r w:rsidRPr="00F35EFC">
      <w:rPr>
        <w:color w:val="FFFFFF" w:themeColor="background1"/>
        <w:sz w:val="20"/>
        <w:szCs w:val="20"/>
      </w:rPr>
      <w:t>au  | Website: www.allstatehomeloans.com.au</w:t>
    </w:r>
  </w:p>
  <w:p w14:paraId="1303A129" w14:textId="1DCE2856" w:rsidR="00BC726C" w:rsidRDefault="00BC726C" w:rsidP="00BC726C">
    <w:pPr>
      <w:pStyle w:val="BodyText"/>
      <w:shd w:val="clear" w:color="auto" w:fill="002060"/>
      <w:ind w:left="170"/>
      <w:rPr>
        <w:color w:val="FFFFFF" w:themeColor="background1"/>
        <w:sz w:val="20"/>
        <w:szCs w:val="20"/>
      </w:rPr>
    </w:pPr>
    <w:r>
      <w:rPr>
        <w:color w:val="FFFFFF" w:themeColor="background1"/>
        <w:sz w:val="20"/>
        <w:szCs w:val="20"/>
      </w:rPr>
      <w:t xml:space="preserve">        </w:t>
    </w:r>
    <w:r w:rsidR="003F7407">
      <w:rPr>
        <w:color w:val="FFFFFF" w:themeColor="background1"/>
        <w:sz w:val="20"/>
        <w:szCs w:val="20"/>
      </w:rPr>
      <w:t>Postal:  PO Box 3553, Loganholme Qld 4129</w:t>
    </w:r>
    <w:r w:rsidR="0072278F">
      <w:rPr>
        <w:color w:val="FFFFFF" w:themeColor="background1"/>
        <w:sz w:val="20"/>
        <w:szCs w:val="20"/>
      </w:rPr>
      <w:t xml:space="preserve">  </w:t>
    </w:r>
    <w:r>
      <w:rPr>
        <w:color w:val="FFFFFF" w:themeColor="background1"/>
        <w:sz w:val="20"/>
        <w:szCs w:val="20"/>
      </w:rPr>
      <w:t xml:space="preserve">        </w:t>
    </w:r>
    <w:r w:rsidR="0072278F">
      <w:rPr>
        <w:color w:val="FFFFFF" w:themeColor="background1"/>
        <w:sz w:val="20"/>
        <w:szCs w:val="20"/>
      </w:rPr>
      <w:t xml:space="preserve">   </w:t>
    </w:r>
    <w:r w:rsidRPr="00F35EFC">
      <w:rPr>
        <w:color w:val="FFFFFF" w:themeColor="background1"/>
        <w:sz w:val="20"/>
        <w:szCs w:val="20"/>
      </w:rPr>
      <w:t>Australian Credit Licence: 384512   |   ABN:     86 010 377 018</w:t>
    </w:r>
  </w:p>
  <w:p w14:paraId="0D4A6782" w14:textId="77777777" w:rsidR="00BC726C" w:rsidRDefault="00BC726C" w:rsidP="00BC726C">
    <w:pPr>
      <w:pStyle w:val="BodyText"/>
      <w:shd w:val="clear" w:color="auto" w:fill="002060"/>
      <w:ind w:left="170"/>
      <w:jc w:val="center"/>
      <w:rPr>
        <w:color w:val="FFFFFF" w:themeColor="background1"/>
        <w:sz w:val="20"/>
        <w:szCs w:val="20"/>
      </w:rPr>
    </w:pPr>
  </w:p>
  <w:p w14:paraId="6D3F6E49" w14:textId="77777777" w:rsidR="00BC726C" w:rsidRDefault="00BC72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D4082" w14:textId="77777777" w:rsidR="00502786" w:rsidRDefault="00502786" w:rsidP="00BC726C">
      <w:r>
        <w:separator/>
      </w:r>
    </w:p>
  </w:footnote>
  <w:footnote w:type="continuationSeparator" w:id="0">
    <w:p w14:paraId="477B067E" w14:textId="77777777" w:rsidR="00502786" w:rsidRDefault="00502786" w:rsidP="00BC7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numFmt w:val="bullet"/>
      <w:lvlText w:val="•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1" w15:restartNumberingAfterBreak="0">
    <w:nsid w:val="24237A44"/>
    <w:multiLevelType w:val="hybridMultilevel"/>
    <w:tmpl w:val="61A8C9EA"/>
    <w:lvl w:ilvl="0" w:tplc="0C0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121030B"/>
    <w:multiLevelType w:val="hybridMultilevel"/>
    <w:tmpl w:val="D4706466"/>
    <w:lvl w:ilvl="0" w:tplc="0C0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31710A03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numFmt w:val="bullet"/>
      <w:lvlText w:val="•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4" w15:restartNumberingAfterBreak="0">
    <w:nsid w:val="48CB56F1"/>
    <w:multiLevelType w:val="multilevel"/>
    <w:tmpl w:val="00000885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numFmt w:val="bullet"/>
      <w:lvlText w:val="•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5" w15:restartNumberingAfterBreak="0">
    <w:nsid w:val="4B331561"/>
    <w:multiLevelType w:val="multilevel"/>
    <w:tmpl w:val="A7365578"/>
    <w:lvl w:ilvl="0">
      <w:start w:val="1"/>
      <w:numFmt w:val="decimal"/>
      <w:lvlText w:val="%1."/>
      <w:lvlJc w:val="left"/>
      <w:pPr>
        <w:ind w:left="820" w:hanging="720"/>
      </w:pPr>
      <w:rPr>
        <w:rFonts w:ascii="Calibri Light" w:hAnsi="Calibri Light" w:cs="Calibri Light"/>
        <w:b w:val="0"/>
        <w:bCs w:val="0"/>
        <w:color w:val="252525"/>
        <w:w w:val="100"/>
        <w:sz w:val="22"/>
        <w:szCs w:val="22"/>
      </w:rPr>
    </w:lvl>
    <w:lvl w:ilvl="1">
      <w:start w:val="1"/>
      <w:numFmt w:val="lowerLetter"/>
      <w:lvlText w:val="%2."/>
      <w:lvlJc w:val="left"/>
      <w:pPr>
        <w:ind w:left="1664" w:hanging="720"/>
      </w:pPr>
    </w:lvl>
    <w:lvl w:ilvl="2">
      <w:numFmt w:val="bullet"/>
      <w:lvlText w:val="•"/>
      <w:lvlJc w:val="left"/>
      <w:pPr>
        <w:ind w:left="2509" w:hanging="720"/>
      </w:pPr>
    </w:lvl>
    <w:lvl w:ilvl="3">
      <w:numFmt w:val="bullet"/>
      <w:lvlText w:val="•"/>
      <w:lvlJc w:val="left"/>
      <w:pPr>
        <w:ind w:left="3353" w:hanging="720"/>
      </w:pPr>
    </w:lvl>
    <w:lvl w:ilvl="4">
      <w:numFmt w:val="bullet"/>
      <w:lvlText w:val="•"/>
      <w:lvlJc w:val="left"/>
      <w:pPr>
        <w:ind w:left="4198" w:hanging="720"/>
      </w:pPr>
    </w:lvl>
    <w:lvl w:ilvl="5">
      <w:numFmt w:val="bullet"/>
      <w:lvlText w:val="•"/>
      <w:lvlJc w:val="left"/>
      <w:pPr>
        <w:ind w:left="5043" w:hanging="720"/>
      </w:pPr>
    </w:lvl>
    <w:lvl w:ilvl="6">
      <w:numFmt w:val="bullet"/>
      <w:lvlText w:val="•"/>
      <w:lvlJc w:val="left"/>
      <w:pPr>
        <w:ind w:left="5887" w:hanging="720"/>
      </w:pPr>
    </w:lvl>
    <w:lvl w:ilvl="7">
      <w:numFmt w:val="bullet"/>
      <w:lvlText w:val="•"/>
      <w:lvlJc w:val="left"/>
      <w:pPr>
        <w:ind w:left="6732" w:hanging="720"/>
      </w:pPr>
    </w:lvl>
    <w:lvl w:ilvl="8">
      <w:numFmt w:val="bullet"/>
      <w:lvlText w:val="•"/>
      <w:lvlJc w:val="left"/>
      <w:pPr>
        <w:ind w:left="7577" w:hanging="720"/>
      </w:pPr>
    </w:lvl>
  </w:abstractNum>
  <w:abstractNum w:abstractNumId="6" w15:restartNumberingAfterBreak="0">
    <w:nsid w:val="75F3360C"/>
    <w:multiLevelType w:val="hybridMultilevel"/>
    <w:tmpl w:val="4424A0DE"/>
    <w:lvl w:ilvl="0" w:tplc="F2C878B0">
      <w:numFmt w:val="bullet"/>
      <w:lvlText w:val="•"/>
      <w:lvlJc w:val="left"/>
      <w:pPr>
        <w:ind w:left="231" w:hanging="121"/>
      </w:pPr>
      <w:rPr>
        <w:rFonts w:ascii="Arial" w:eastAsia="Arial" w:hAnsi="Arial" w:cs="Arial" w:hint="default"/>
        <w:w w:val="114"/>
        <w:sz w:val="16"/>
        <w:szCs w:val="16"/>
        <w:lang w:val="en-US" w:eastAsia="en-US" w:bidi="en-US"/>
      </w:rPr>
    </w:lvl>
    <w:lvl w:ilvl="1" w:tplc="62F02B1E">
      <w:numFmt w:val="bullet"/>
      <w:lvlText w:val="•"/>
      <w:lvlJc w:val="left"/>
      <w:pPr>
        <w:ind w:left="575" w:hanging="121"/>
      </w:pPr>
      <w:rPr>
        <w:rFonts w:hint="default"/>
        <w:lang w:val="en-US" w:eastAsia="en-US" w:bidi="en-US"/>
      </w:rPr>
    </w:lvl>
    <w:lvl w:ilvl="2" w:tplc="AC70C5FC">
      <w:numFmt w:val="bullet"/>
      <w:lvlText w:val="•"/>
      <w:lvlJc w:val="left"/>
      <w:pPr>
        <w:ind w:left="911" w:hanging="121"/>
      </w:pPr>
      <w:rPr>
        <w:rFonts w:hint="default"/>
        <w:lang w:val="en-US" w:eastAsia="en-US" w:bidi="en-US"/>
      </w:rPr>
    </w:lvl>
    <w:lvl w:ilvl="3" w:tplc="D004BD54">
      <w:numFmt w:val="bullet"/>
      <w:lvlText w:val="•"/>
      <w:lvlJc w:val="left"/>
      <w:pPr>
        <w:ind w:left="1246" w:hanging="121"/>
      </w:pPr>
      <w:rPr>
        <w:rFonts w:hint="default"/>
        <w:lang w:val="en-US" w:eastAsia="en-US" w:bidi="en-US"/>
      </w:rPr>
    </w:lvl>
    <w:lvl w:ilvl="4" w:tplc="E05016CC">
      <w:numFmt w:val="bullet"/>
      <w:lvlText w:val="•"/>
      <w:lvlJc w:val="left"/>
      <w:pPr>
        <w:ind w:left="1582" w:hanging="121"/>
      </w:pPr>
      <w:rPr>
        <w:rFonts w:hint="default"/>
        <w:lang w:val="en-US" w:eastAsia="en-US" w:bidi="en-US"/>
      </w:rPr>
    </w:lvl>
    <w:lvl w:ilvl="5" w:tplc="EB4ED3FE">
      <w:numFmt w:val="bullet"/>
      <w:lvlText w:val="•"/>
      <w:lvlJc w:val="left"/>
      <w:pPr>
        <w:ind w:left="1917" w:hanging="121"/>
      </w:pPr>
      <w:rPr>
        <w:rFonts w:hint="default"/>
        <w:lang w:val="en-US" w:eastAsia="en-US" w:bidi="en-US"/>
      </w:rPr>
    </w:lvl>
    <w:lvl w:ilvl="6" w:tplc="30E6690E">
      <w:numFmt w:val="bullet"/>
      <w:lvlText w:val="•"/>
      <w:lvlJc w:val="left"/>
      <w:pPr>
        <w:ind w:left="2253" w:hanging="121"/>
      </w:pPr>
      <w:rPr>
        <w:rFonts w:hint="default"/>
        <w:lang w:val="en-US" w:eastAsia="en-US" w:bidi="en-US"/>
      </w:rPr>
    </w:lvl>
    <w:lvl w:ilvl="7" w:tplc="CB9257E2">
      <w:numFmt w:val="bullet"/>
      <w:lvlText w:val="•"/>
      <w:lvlJc w:val="left"/>
      <w:pPr>
        <w:ind w:left="2588" w:hanging="121"/>
      </w:pPr>
      <w:rPr>
        <w:rFonts w:hint="default"/>
        <w:lang w:val="en-US" w:eastAsia="en-US" w:bidi="en-US"/>
      </w:rPr>
    </w:lvl>
    <w:lvl w:ilvl="8" w:tplc="0A3CEFA8">
      <w:numFmt w:val="bullet"/>
      <w:lvlText w:val="•"/>
      <w:lvlJc w:val="left"/>
      <w:pPr>
        <w:ind w:left="2924" w:hanging="121"/>
      </w:pPr>
      <w:rPr>
        <w:rFonts w:hint="default"/>
        <w:lang w:val="en-US" w:eastAsia="en-US" w:bidi="en-US"/>
      </w:rPr>
    </w:lvl>
  </w:abstractNum>
  <w:num w:numId="1" w16cid:durableId="1022050402">
    <w:abstractNumId w:val="6"/>
  </w:num>
  <w:num w:numId="2" w16cid:durableId="2112699367">
    <w:abstractNumId w:val="0"/>
  </w:num>
  <w:num w:numId="3" w16cid:durableId="1217008845">
    <w:abstractNumId w:val="3"/>
  </w:num>
  <w:num w:numId="4" w16cid:durableId="1295405065">
    <w:abstractNumId w:val="4"/>
  </w:num>
  <w:num w:numId="5" w16cid:durableId="436680714">
    <w:abstractNumId w:val="5"/>
  </w:num>
  <w:num w:numId="6" w16cid:durableId="442190431">
    <w:abstractNumId w:val="1"/>
  </w:num>
  <w:num w:numId="7" w16cid:durableId="6470493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4D"/>
    <w:rsid w:val="00006621"/>
    <w:rsid w:val="00010942"/>
    <w:rsid w:val="00012CD0"/>
    <w:rsid w:val="0001602C"/>
    <w:rsid w:val="00017D94"/>
    <w:rsid w:val="00020B28"/>
    <w:rsid w:val="0002300B"/>
    <w:rsid w:val="00023DC9"/>
    <w:rsid w:val="00032189"/>
    <w:rsid w:val="00032278"/>
    <w:rsid w:val="00043BA7"/>
    <w:rsid w:val="00045B47"/>
    <w:rsid w:val="000502AE"/>
    <w:rsid w:val="0005124E"/>
    <w:rsid w:val="00052802"/>
    <w:rsid w:val="00054F41"/>
    <w:rsid w:val="00075AAF"/>
    <w:rsid w:val="00077D09"/>
    <w:rsid w:val="00085E0C"/>
    <w:rsid w:val="00087632"/>
    <w:rsid w:val="00093836"/>
    <w:rsid w:val="000A68AB"/>
    <w:rsid w:val="000B5416"/>
    <w:rsid w:val="000D1BD4"/>
    <w:rsid w:val="000D3902"/>
    <w:rsid w:val="000E13D3"/>
    <w:rsid w:val="000E4E15"/>
    <w:rsid w:val="000E5856"/>
    <w:rsid w:val="000F25E7"/>
    <w:rsid w:val="000F402E"/>
    <w:rsid w:val="000F5D8D"/>
    <w:rsid w:val="00101AF0"/>
    <w:rsid w:val="00101FE0"/>
    <w:rsid w:val="00104727"/>
    <w:rsid w:val="001257E0"/>
    <w:rsid w:val="00140DF2"/>
    <w:rsid w:val="001512DF"/>
    <w:rsid w:val="0015388E"/>
    <w:rsid w:val="00161C16"/>
    <w:rsid w:val="00165A95"/>
    <w:rsid w:val="001679A3"/>
    <w:rsid w:val="001705E0"/>
    <w:rsid w:val="0017647C"/>
    <w:rsid w:val="00182507"/>
    <w:rsid w:val="00182CA4"/>
    <w:rsid w:val="00190AF1"/>
    <w:rsid w:val="001A7507"/>
    <w:rsid w:val="001C2931"/>
    <w:rsid w:val="001C4858"/>
    <w:rsid w:val="001E13AE"/>
    <w:rsid w:val="001E1F84"/>
    <w:rsid w:val="001E791D"/>
    <w:rsid w:val="002034F7"/>
    <w:rsid w:val="00207941"/>
    <w:rsid w:val="002200E6"/>
    <w:rsid w:val="00226402"/>
    <w:rsid w:val="00230FF7"/>
    <w:rsid w:val="00236D3F"/>
    <w:rsid w:val="00240B7E"/>
    <w:rsid w:val="00240FA1"/>
    <w:rsid w:val="0024288C"/>
    <w:rsid w:val="00242C22"/>
    <w:rsid w:val="00242E63"/>
    <w:rsid w:val="00254FD8"/>
    <w:rsid w:val="002635F9"/>
    <w:rsid w:val="002679A6"/>
    <w:rsid w:val="00273812"/>
    <w:rsid w:val="0027432F"/>
    <w:rsid w:val="002868A6"/>
    <w:rsid w:val="002A5982"/>
    <w:rsid w:val="002A6C2D"/>
    <w:rsid w:val="002B1FE2"/>
    <w:rsid w:val="002B4408"/>
    <w:rsid w:val="002C69B8"/>
    <w:rsid w:val="002D012E"/>
    <w:rsid w:val="002E0D7A"/>
    <w:rsid w:val="002E1CF9"/>
    <w:rsid w:val="002E22B4"/>
    <w:rsid w:val="002F1BF0"/>
    <w:rsid w:val="00305C3F"/>
    <w:rsid w:val="00307934"/>
    <w:rsid w:val="00307D8B"/>
    <w:rsid w:val="003227A1"/>
    <w:rsid w:val="00324302"/>
    <w:rsid w:val="00341A2A"/>
    <w:rsid w:val="00351037"/>
    <w:rsid w:val="003577AE"/>
    <w:rsid w:val="003578E3"/>
    <w:rsid w:val="00362026"/>
    <w:rsid w:val="003620E7"/>
    <w:rsid w:val="00363A28"/>
    <w:rsid w:val="00382573"/>
    <w:rsid w:val="003A377A"/>
    <w:rsid w:val="003A5141"/>
    <w:rsid w:val="003A77A1"/>
    <w:rsid w:val="003B0A92"/>
    <w:rsid w:val="003B358E"/>
    <w:rsid w:val="003C1237"/>
    <w:rsid w:val="003E33DD"/>
    <w:rsid w:val="003E77C1"/>
    <w:rsid w:val="003F0EBC"/>
    <w:rsid w:val="003F194A"/>
    <w:rsid w:val="003F2356"/>
    <w:rsid w:val="003F3726"/>
    <w:rsid w:val="003F39C0"/>
    <w:rsid w:val="003F5B1F"/>
    <w:rsid w:val="003F7407"/>
    <w:rsid w:val="00400363"/>
    <w:rsid w:val="004012CE"/>
    <w:rsid w:val="00410F4D"/>
    <w:rsid w:val="00413BEC"/>
    <w:rsid w:val="00414F09"/>
    <w:rsid w:val="0041611A"/>
    <w:rsid w:val="0042088B"/>
    <w:rsid w:val="0043221C"/>
    <w:rsid w:val="00434B1F"/>
    <w:rsid w:val="004363CF"/>
    <w:rsid w:val="004510D1"/>
    <w:rsid w:val="004519DD"/>
    <w:rsid w:val="004520F9"/>
    <w:rsid w:val="004574E8"/>
    <w:rsid w:val="00460A8E"/>
    <w:rsid w:val="00460F68"/>
    <w:rsid w:val="004641A7"/>
    <w:rsid w:val="00464840"/>
    <w:rsid w:val="00470901"/>
    <w:rsid w:val="00471220"/>
    <w:rsid w:val="00472822"/>
    <w:rsid w:val="004768A2"/>
    <w:rsid w:val="00482162"/>
    <w:rsid w:val="00495C59"/>
    <w:rsid w:val="004A005F"/>
    <w:rsid w:val="004A13F8"/>
    <w:rsid w:val="004A2DBD"/>
    <w:rsid w:val="004A4002"/>
    <w:rsid w:val="004A5EFE"/>
    <w:rsid w:val="004C1466"/>
    <w:rsid w:val="004C1707"/>
    <w:rsid w:val="004C190C"/>
    <w:rsid w:val="004C286D"/>
    <w:rsid w:val="004C3CC2"/>
    <w:rsid w:val="004C530E"/>
    <w:rsid w:val="004D3B07"/>
    <w:rsid w:val="004D7284"/>
    <w:rsid w:val="004E537C"/>
    <w:rsid w:val="004E5A92"/>
    <w:rsid w:val="004F4294"/>
    <w:rsid w:val="005023A2"/>
    <w:rsid w:val="00502786"/>
    <w:rsid w:val="00507203"/>
    <w:rsid w:val="00507F28"/>
    <w:rsid w:val="0051051D"/>
    <w:rsid w:val="00512C77"/>
    <w:rsid w:val="00516E41"/>
    <w:rsid w:val="00520C47"/>
    <w:rsid w:val="005225CA"/>
    <w:rsid w:val="00527503"/>
    <w:rsid w:val="00527C58"/>
    <w:rsid w:val="00530F58"/>
    <w:rsid w:val="00532164"/>
    <w:rsid w:val="00550FBF"/>
    <w:rsid w:val="00553A69"/>
    <w:rsid w:val="00557C3E"/>
    <w:rsid w:val="00562F46"/>
    <w:rsid w:val="00567F8C"/>
    <w:rsid w:val="0057397B"/>
    <w:rsid w:val="00575CBD"/>
    <w:rsid w:val="005760D3"/>
    <w:rsid w:val="00577B35"/>
    <w:rsid w:val="00585EED"/>
    <w:rsid w:val="00587132"/>
    <w:rsid w:val="00592E8C"/>
    <w:rsid w:val="00593F9F"/>
    <w:rsid w:val="005948D5"/>
    <w:rsid w:val="005B0488"/>
    <w:rsid w:val="005B70E4"/>
    <w:rsid w:val="005C1DEE"/>
    <w:rsid w:val="005C23FD"/>
    <w:rsid w:val="005C45D8"/>
    <w:rsid w:val="005C5129"/>
    <w:rsid w:val="005D250A"/>
    <w:rsid w:val="005D33CD"/>
    <w:rsid w:val="005D4A9C"/>
    <w:rsid w:val="005E5E69"/>
    <w:rsid w:val="005E6295"/>
    <w:rsid w:val="005E7441"/>
    <w:rsid w:val="005E7F5E"/>
    <w:rsid w:val="005F1D71"/>
    <w:rsid w:val="005F31DF"/>
    <w:rsid w:val="005F6649"/>
    <w:rsid w:val="00617F5D"/>
    <w:rsid w:val="006219D4"/>
    <w:rsid w:val="006243B5"/>
    <w:rsid w:val="006369B5"/>
    <w:rsid w:val="00641AB3"/>
    <w:rsid w:val="00642AA6"/>
    <w:rsid w:val="00643E27"/>
    <w:rsid w:val="006465DB"/>
    <w:rsid w:val="00654DF7"/>
    <w:rsid w:val="006605FD"/>
    <w:rsid w:val="00662D2F"/>
    <w:rsid w:val="0066369B"/>
    <w:rsid w:val="00664964"/>
    <w:rsid w:val="00664A43"/>
    <w:rsid w:val="00672427"/>
    <w:rsid w:val="006754D1"/>
    <w:rsid w:val="006831F8"/>
    <w:rsid w:val="0068348D"/>
    <w:rsid w:val="00686E46"/>
    <w:rsid w:val="006941AB"/>
    <w:rsid w:val="006A2A18"/>
    <w:rsid w:val="006B2B6E"/>
    <w:rsid w:val="006B6CC5"/>
    <w:rsid w:val="006B7749"/>
    <w:rsid w:val="006D1E12"/>
    <w:rsid w:val="006D2680"/>
    <w:rsid w:val="006D5AEE"/>
    <w:rsid w:val="006D61C4"/>
    <w:rsid w:val="006D76E4"/>
    <w:rsid w:val="006E0ABD"/>
    <w:rsid w:val="006F6DFA"/>
    <w:rsid w:val="007018F7"/>
    <w:rsid w:val="00702EBD"/>
    <w:rsid w:val="007036E6"/>
    <w:rsid w:val="00706D9E"/>
    <w:rsid w:val="0070712F"/>
    <w:rsid w:val="00707198"/>
    <w:rsid w:val="00711BA2"/>
    <w:rsid w:val="007168D0"/>
    <w:rsid w:val="0072013D"/>
    <w:rsid w:val="007214BE"/>
    <w:rsid w:val="00721752"/>
    <w:rsid w:val="0072278F"/>
    <w:rsid w:val="00730B4B"/>
    <w:rsid w:val="00742D4A"/>
    <w:rsid w:val="00747727"/>
    <w:rsid w:val="007646A3"/>
    <w:rsid w:val="00770122"/>
    <w:rsid w:val="007713E5"/>
    <w:rsid w:val="00772F2C"/>
    <w:rsid w:val="007761E6"/>
    <w:rsid w:val="0078547B"/>
    <w:rsid w:val="00792CED"/>
    <w:rsid w:val="00792D3B"/>
    <w:rsid w:val="0079454D"/>
    <w:rsid w:val="007A563D"/>
    <w:rsid w:val="007A7533"/>
    <w:rsid w:val="007B03BE"/>
    <w:rsid w:val="007B1E13"/>
    <w:rsid w:val="007B2BD2"/>
    <w:rsid w:val="007B7CF5"/>
    <w:rsid w:val="007C1B7A"/>
    <w:rsid w:val="007C1F96"/>
    <w:rsid w:val="007D0790"/>
    <w:rsid w:val="007E14F8"/>
    <w:rsid w:val="007E1737"/>
    <w:rsid w:val="007E48D8"/>
    <w:rsid w:val="007E5499"/>
    <w:rsid w:val="007E63C4"/>
    <w:rsid w:val="007F2994"/>
    <w:rsid w:val="007F469E"/>
    <w:rsid w:val="007F7550"/>
    <w:rsid w:val="00800A0D"/>
    <w:rsid w:val="0080775A"/>
    <w:rsid w:val="008114A2"/>
    <w:rsid w:val="0081219A"/>
    <w:rsid w:val="00813B87"/>
    <w:rsid w:val="00820BB1"/>
    <w:rsid w:val="00821181"/>
    <w:rsid w:val="008233BF"/>
    <w:rsid w:val="00824786"/>
    <w:rsid w:val="00825F54"/>
    <w:rsid w:val="00832964"/>
    <w:rsid w:val="0083393D"/>
    <w:rsid w:val="00835B8E"/>
    <w:rsid w:val="00835E48"/>
    <w:rsid w:val="00840269"/>
    <w:rsid w:val="00840756"/>
    <w:rsid w:val="00843B15"/>
    <w:rsid w:val="00846135"/>
    <w:rsid w:val="008529A0"/>
    <w:rsid w:val="008547EE"/>
    <w:rsid w:val="008561B7"/>
    <w:rsid w:val="00856FF5"/>
    <w:rsid w:val="00870C91"/>
    <w:rsid w:val="00874FEA"/>
    <w:rsid w:val="0087798D"/>
    <w:rsid w:val="00880194"/>
    <w:rsid w:val="008829BE"/>
    <w:rsid w:val="00894826"/>
    <w:rsid w:val="008952AE"/>
    <w:rsid w:val="008960FA"/>
    <w:rsid w:val="008968D9"/>
    <w:rsid w:val="008A547C"/>
    <w:rsid w:val="008A5CAB"/>
    <w:rsid w:val="008A609F"/>
    <w:rsid w:val="008B2107"/>
    <w:rsid w:val="008B619B"/>
    <w:rsid w:val="008C1D20"/>
    <w:rsid w:val="008C47AF"/>
    <w:rsid w:val="008C4F2D"/>
    <w:rsid w:val="008D3E5B"/>
    <w:rsid w:val="008E5CF2"/>
    <w:rsid w:val="008E7383"/>
    <w:rsid w:val="00900920"/>
    <w:rsid w:val="009061BA"/>
    <w:rsid w:val="0090692D"/>
    <w:rsid w:val="00910961"/>
    <w:rsid w:val="009125EA"/>
    <w:rsid w:val="00912D24"/>
    <w:rsid w:val="00922EE6"/>
    <w:rsid w:val="00932A26"/>
    <w:rsid w:val="009416A2"/>
    <w:rsid w:val="00941D97"/>
    <w:rsid w:val="00965F6F"/>
    <w:rsid w:val="00970C5C"/>
    <w:rsid w:val="00972E46"/>
    <w:rsid w:val="00973FF7"/>
    <w:rsid w:val="00975042"/>
    <w:rsid w:val="0098291E"/>
    <w:rsid w:val="0098637C"/>
    <w:rsid w:val="00990992"/>
    <w:rsid w:val="00991208"/>
    <w:rsid w:val="00991A89"/>
    <w:rsid w:val="009966B8"/>
    <w:rsid w:val="009A1678"/>
    <w:rsid w:val="009B385D"/>
    <w:rsid w:val="009B5840"/>
    <w:rsid w:val="009D45B2"/>
    <w:rsid w:val="009F0647"/>
    <w:rsid w:val="009F15B5"/>
    <w:rsid w:val="009F1E22"/>
    <w:rsid w:val="009F7FC4"/>
    <w:rsid w:val="00A04DDC"/>
    <w:rsid w:val="00A07111"/>
    <w:rsid w:val="00A07851"/>
    <w:rsid w:val="00A119A7"/>
    <w:rsid w:val="00A26353"/>
    <w:rsid w:val="00A40ED6"/>
    <w:rsid w:val="00A513F9"/>
    <w:rsid w:val="00A55C83"/>
    <w:rsid w:val="00A6276F"/>
    <w:rsid w:val="00A62BDD"/>
    <w:rsid w:val="00A65773"/>
    <w:rsid w:val="00A676A7"/>
    <w:rsid w:val="00A721C7"/>
    <w:rsid w:val="00A77A61"/>
    <w:rsid w:val="00A85FCC"/>
    <w:rsid w:val="00A9232F"/>
    <w:rsid w:val="00A96AAB"/>
    <w:rsid w:val="00A97F12"/>
    <w:rsid w:val="00AA0A1F"/>
    <w:rsid w:val="00AA5DE2"/>
    <w:rsid w:val="00AA6D1A"/>
    <w:rsid w:val="00AB2A89"/>
    <w:rsid w:val="00AB3215"/>
    <w:rsid w:val="00AC7F21"/>
    <w:rsid w:val="00AD777E"/>
    <w:rsid w:val="00AE1707"/>
    <w:rsid w:val="00AF52A4"/>
    <w:rsid w:val="00AF61C1"/>
    <w:rsid w:val="00B01A40"/>
    <w:rsid w:val="00B140EA"/>
    <w:rsid w:val="00B14CD5"/>
    <w:rsid w:val="00B15D02"/>
    <w:rsid w:val="00B219BD"/>
    <w:rsid w:val="00B439AF"/>
    <w:rsid w:val="00B475B2"/>
    <w:rsid w:val="00B62FC9"/>
    <w:rsid w:val="00B654E7"/>
    <w:rsid w:val="00B67C3A"/>
    <w:rsid w:val="00B72698"/>
    <w:rsid w:val="00B87818"/>
    <w:rsid w:val="00B92FC1"/>
    <w:rsid w:val="00BA4C1C"/>
    <w:rsid w:val="00BA4C7D"/>
    <w:rsid w:val="00BA5141"/>
    <w:rsid w:val="00BA6A1F"/>
    <w:rsid w:val="00BB16EF"/>
    <w:rsid w:val="00BB5F82"/>
    <w:rsid w:val="00BB7877"/>
    <w:rsid w:val="00BB7980"/>
    <w:rsid w:val="00BC36A4"/>
    <w:rsid w:val="00BC3EB0"/>
    <w:rsid w:val="00BC726C"/>
    <w:rsid w:val="00BD012D"/>
    <w:rsid w:val="00BE1ED2"/>
    <w:rsid w:val="00BE4487"/>
    <w:rsid w:val="00BF6532"/>
    <w:rsid w:val="00BF6F5F"/>
    <w:rsid w:val="00C04402"/>
    <w:rsid w:val="00C0590B"/>
    <w:rsid w:val="00C069BC"/>
    <w:rsid w:val="00C13575"/>
    <w:rsid w:val="00C14F8A"/>
    <w:rsid w:val="00C218E6"/>
    <w:rsid w:val="00C25EC0"/>
    <w:rsid w:val="00C32149"/>
    <w:rsid w:val="00C35390"/>
    <w:rsid w:val="00C37EFA"/>
    <w:rsid w:val="00C44521"/>
    <w:rsid w:val="00C50BFE"/>
    <w:rsid w:val="00C50F4D"/>
    <w:rsid w:val="00C51E1D"/>
    <w:rsid w:val="00C52B79"/>
    <w:rsid w:val="00C560A7"/>
    <w:rsid w:val="00C57500"/>
    <w:rsid w:val="00C64F1C"/>
    <w:rsid w:val="00C94FF1"/>
    <w:rsid w:val="00C960C6"/>
    <w:rsid w:val="00CA0967"/>
    <w:rsid w:val="00CB06E1"/>
    <w:rsid w:val="00CD0E64"/>
    <w:rsid w:val="00CD11F6"/>
    <w:rsid w:val="00CD4999"/>
    <w:rsid w:val="00CD5BCD"/>
    <w:rsid w:val="00CE758A"/>
    <w:rsid w:val="00CF3443"/>
    <w:rsid w:val="00CF37D2"/>
    <w:rsid w:val="00CF527E"/>
    <w:rsid w:val="00CF5693"/>
    <w:rsid w:val="00CF6E89"/>
    <w:rsid w:val="00D01488"/>
    <w:rsid w:val="00D11A4F"/>
    <w:rsid w:val="00D129FA"/>
    <w:rsid w:val="00D14535"/>
    <w:rsid w:val="00D213F7"/>
    <w:rsid w:val="00D227A2"/>
    <w:rsid w:val="00D234B2"/>
    <w:rsid w:val="00D24C59"/>
    <w:rsid w:val="00D254B3"/>
    <w:rsid w:val="00D30398"/>
    <w:rsid w:val="00D3430D"/>
    <w:rsid w:val="00D34666"/>
    <w:rsid w:val="00D3543B"/>
    <w:rsid w:val="00D4073D"/>
    <w:rsid w:val="00D407AC"/>
    <w:rsid w:val="00D4243B"/>
    <w:rsid w:val="00D45146"/>
    <w:rsid w:val="00D453C7"/>
    <w:rsid w:val="00D46693"/>
    <w:rsid w:val="00D47628"/>
    <w:rsid w:val="00D532B5"/>
    <w:rsid w:val="00D53529"/>
    <w:rsid w:val="00D53ED2"/>
    <w:rsid w:val="00D64010"/>
    <w:rsid w:val="00D64233"/>
    <w:rsid w:val="00D72B1B"/>
    <w:rsid w:val="00D81CF7"/>
    <w:rsid w:val="00D872F7"/>
    <w:rsid w:val="00D9177E"/>
    <w:rsid w:val="00DA0C27"/>
    <w:rsid w:val="00DA38DC"/>
    <w:rsid w:val="00DA3D8F"/>
    <w:rsid w:val="00DB39AB"/>
    <w:rsid w:val="00DB476F"/>
    <w:rsid w:val="00DB497B"/>
    <w:rsid w:val="00DB5E5A"/>
    <w:rsid w:val="00DC465C"/>
    <w:rsid w:val="00DC4815"/>
    <w:rsid w:val="00DD2187"/>
    <w:rsid w:val="00DE055F"/>
    <w:rsid w:val="00DE3DC7"/>
    <w:rsid w:val="00DE42D5"/>
    <w:rsid w:val="00DF15EE"/>
    <w:rsid w:val="00DF666E"/>
    <w:rsid w:val="00E01F67"/>
    <w:rsid w:val="00E0409A"/>
    <w:rsid w:val="00E04297"/>
    <w:rsid w:val="00E12D75"/>
    <w:rsid w:val="00E169AB"/>
    <w:rsid w:val="00E20A53"/>
    <w:rsid w:val="00E21DF2"/>
    <w:rsid w:val="00E24976"/>
    <w:rsid w:val="00E24DFA"/>
    <w:rsid w:val="00E26B32"/>
    <w:rsid w:val="00E26BE7"/>
    <w:rsid w:val="00E30E62"/>
    <w:rsid w:val="00E5249E"/>
    <w:rsid w:val="00E53459"/>
    <w:rsid w:val="00E64DC4"/>
    <w:rsid w:val="00E74CBE"/>
    <w:rsid w:val="00E76B7F"/>
    <w:rsid w:val="00E829F3"/>
    <w:rsid w:val="00E90738"/>
    <w:rsid w:val="00E95F1B"/>
    <w:rsid w:val="00E965ED"/>
    <w:rsid w:val="00EB15EF"/>
    <w:rsid w:val="00EC6F69"/>
    <w:rsid w:val="00ED0005"/>
    <w:rsid w:val="00ED0EC7"/>
    <w:rsid w:val="00ED16A6"/>
    <w:rsid w:val="00ED2401"/>
    <w:rsid w:val="00ED5AD9"/>
    <w:rsid w:val="00ED7EFA"/>
    <w:rsid w:val="00EE2F85"/>
    <w:rsid w:val="00F04A88"/>
    <w:rsid w:val="00F1514A"/>
    <w:rsid w:val="00F24A5B"/>
    <w:rsid w:val="00F32A39"/>
    <w:rsid w:val="00F35EFC"/>
    <w:rsid w:val="00F36FAA"/>
    <w:rsid w:val="00F4005F"/>
    <w:rsid w:val="00F41430"/>
    <w:rsid w:val="00F44270"/>
    <w:rsid w:val="00F46081"/>
    <w:rsid w:val="00F520D8"/>
    <w:rsid w:val="00F55D37"/>
    <w:rsid w:val="00F6608F"/>
    <w:rsid w:val="00F700F4"/>
    <w:rsid w:val="00F7540B"/>
    <w:rsid w:val="00F76A74"/>
    <w:rsid w:val="00F77D1F"/>
    <w:rsid w:val="00F8411D"/>
    <w:rsid w:val="00FA00E7"/>
    <w:rsid w:val="00FB0640"/>
    <w:rsid w:val="00FB0E45"/>
    <w:rsid w:val="00FB6B9F"/>
    <w:rsid w:val="00FC0684"/>
    <w:rsid w:val="00FC103A"/>
    <w:rsid w:val="00FC1AB5"/>
    <w:rsid w:val="00FC697C"/>
    <w:rsid w:val="00FE439A"/>
    <w:rsid w:val="00FE4733"/>
    <w:rsid w:val="00FE7F3A"/>
    <w:rsid w:val="00FF0945"/>
    <w:rsid w:val="00FF508C"/>
    <w:rsid w:val="00FF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AE5B8"/>
  <w15:docId w15:val="{50E15548-107D-4926-BE38-9177A842C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01602C"/>
    <w:pPr>
      <w:spacing w:before="47"/>
      <w:ind w:left="290" w:hanging="113"/>
      <w:outlineLvl w:val="1"/>
    </w:pPr>
    <w:rPr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09"/>
      <w:ind w:left="113"/>
    </w:pPr>
  </w:style>
  <w:style w:type="table" w:styleId="TableGrid">
    <w:name w:val="Table Grid"/>
    <w:basedOn w:val="TableNormal"/>
    <w:uiPriority w:val="39"/>
    <w:rsid w:val="00F35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63CF"/>
    <w:pPr>
      <w:widowControl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character" w:customStyle="1" w:styleId="A0">
    <w:name w:val="A0"/>
    <w:uiPriority w:val="99"/>
    <w:rsid w:val="004363CF"/>
    <w:rPr>
      <w:color w:val="4E575F"/>
      <w:sz w:val="28"/>
      <w:szCs w:val="28"/>
    </w:rPr>
  </w:style>
  <w:style w:type="paragraph" w:customStyle="1" w:styleId="Pa2">
    <w:name w:val="Pa2"/>
    <w:basedOn w:val="Normal"/>
    <w:next w:val="Normal"/>
    <w:uiPriority w:val="99"/>
    <w:rsid w:val="005D250A"/>
    <w:pPr>
      <w:widowControl/>
      <w:adjustRightInd w:val="0"/>
      <w:spacing w:line="241" w:lineRule="atLeast"/>
    </w:pPr>
    <w:rPr>
      <w:rFonts w:ascii="Calibri" w:eastAsiaTheme="minorHAnsi" w:hAnsi="Calibri" w:cs="Calibri"/>
      <w:sz w:val="24"/>
      <w:szCs w:val="24"/>
      <w:lang w:val="en-AU" w:bidi="ar-SA"/>
    </w:rPr>
  </w:style>
  <w:style w:type="character" w:customStyle="1" w:styleId="A2">
    <w:name w:val="A2"/>
    <w:uiPriority w:val="99"/>
    <w:rsid w:val="005D250A"/>
    <w:rPr>
      <w:color w:val="4E575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01602C"/>
    <w:rPr>
      <w:rFonts w:ascii="Arial" w:eastAsia="Arial" w:hAnsi="Arial" w:cs="Arial"/>
      <w:sz w:val="15"/>
      <w:szCs w:val="15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BC72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726C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BC72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726C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BB6A0-8CC1-418C-93A4-5C559C0C7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748</Words>
  <Characters>4155</Characters>
  <Application>Microsoft Office Word</Application>
  <DocSecurity>0</DocSecurity>
  <Lines>197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 Wells</dc:creator>
  <cp:lastModifiedBy>Tom Wells</cp:lastModifiedBy>
  <cp:revision>7</cp:revision>
  <dcterms:created xsi:type="dcterms:W3CDTF">2025-09-17T22:34:00Z</dcterms:created>
  <dcterms:modified xsi:type="dcterms:W3CDTF">2025-09-17T22:37:00Z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2019-02-21T00:00:00Z</vt:filetime>
  </property>
</Properties>
</file>